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《法律与生活》第四单元 社会争议解决 复习学案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auto"/>
        <w:rPr>
          <w:rFonts w:hint="eastAsia" w:ascii="黑体" w:hAnsi="黑体" w:eastAsia="黑体" w:cs="黑体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黑体" w:hAnsi="黑体" w:eastAsia="黑体" w:cs="黑体"/>
          <w:b/>
          <w:color w:val="auto"/>
          <w:sz w:val="24"/>
          <w:szCs w:val="24"/>
          <w:lang w:eastAsia="zh-CN"/>
        </w:rPr>
        <w:t>【</w:t>
      </w:r>
      <w:r>
        <w:rPr>
          <w:rFonts w:hint="eastAsia" w:ascii="黑体" w:hAnsi="黑体" w:eastAsia="黑体" w:cs="黑体"/>
          <w:b/>
          <w:color w:val="auto"/>
          <w:sz w:val="24"/>
          <w:szCs w:val="24"/>
          <w:lang w:val="en-US" w:eastAsia="zh-CN"/>
        </w:rPr>
        <w:t>素养目标</w:t>
      </w:r>
      <w:r>
        <w:rPr>
          <w:rFonts w:hint="eastAsia" w:ascii="黑体" w:hAnsi="黑体" w:eastAsia="黑体" w:cs="黑体"/>
          <w:b/>
          <w:color w:val="auto"/>
          <w:sz w:val="24"/>
          <w:szCs w:val="24"/>
        </w:rPr>
        <w:t>】</w:t>
      </w:r>
    </w:p>
    <w:tbl>
      <w:tblPr>
        <w:tblStyle w:val="7"/>
        <w:tblW w:w="8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1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971" w:type="dxa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/>
                <w:bCs/>
                <w:color w:val="auto"/>
                <w:vertAlign w:val="baseline"/>
                <w:lang w:val="en-US" w:eastAsia="zh-CN"/>
              </w:rPr>
              <w:t>课标内容要求</w:t>
            </w:r>
          </w:p>
        </w:tc>
        <w:tc>
          <w:tcPr>
            <w:tcW w:w="6005" w:type="dxa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核心素养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971" w:type="dxa"/>
            <w:vMerge w:val="restart"/>
            <w:vAlign w:val="center"/>
          </w:tcPr>
          <w:p>
            <w:pPr>
              <w:pStyle w:val="2"/>
              <w:shd w:val="clear" w:color="auto" w:fill="FFFFFF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  <w:t>1. 识别人民调解、行政调解等不同的调解方式，明确调解制度的特点和程序。</w:t>
            </w:r>
          </w:p>
          <w:p>
            <w:pPr>
              <w:pStyle w:val="2"/>
              <w:shd w:val="clear" w:color="auto" w:fill="FFFFFF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  <w:t>2. 列举劳动人事争议仲裁、经济仲裁等仲裁形式，明确仲裁制度的特点和程序。</w:t>
            </w:r>
          </w:p>
          <w:p>
            <w:pPr>
              <w:pStyle w:val="2"/>
              <w:shd w:val="clear" w:color="auto" w:fill="FFFFFF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  <w:t>3.解析民事诉讼、刑事诉讼、行政诉讼的特点和程序，说明不同诉讼中的举证规则，树立证据意识</w:t>
            </w:r>
            <w:r>
              <w:rPr>
                <w:rFonts w:hint="eastAsia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  <w:t>。</w:t>
            </w:r>
          </w:p>
          <w:p>
            <w:pPr>
              <w:pStyle w:val="2"/>
              <w:shd w:val="clear" w:color="auto" w:fill="FFFFFF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  <w:t>4. 概述公民的诉讼权利，熟悉公民获得法律援助的渠</w:t>
            </w:r>
            <w:r>
              <w:rPr>
                <w:rFonts w:hint="eastAsia" w:ascii="宋体" w:hAnsi="宋体" w:eastAsia="宋体" w:cs="宋体"/>
                <w:color w:val="auto"/>
                <w:vertAlign w:val="baseline"/>
                <w:lang w:eastAsia="zh-CN"/>
              </w:rPr>
              <w:t>道。</w:t>
            </w:r>
          </w:p>
        </w:tc>
        <w:tc>
          <w:tcPr>
            <w:tcW w:w="60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1050" w:hanging="1050" w:hangingChars="5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政治认同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了解多元纠纷解决方式、作用以及取得的成就，坚定对全面推进依法治国、建设社会主义法治国家的认同。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1050" w:hanging="1050" w:hangingChars="5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科学精神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理性看待社会生活中的矛盾和纠纷，正确认识正当程序原则，掌握通过诉讼解决纠纷，实现公平正义的基本方法和步骤，树立理性表达诉求，依法维护权利的意识。</w:t>
            </w:r>
          </w:p>
          <w:p>
            <w:pPr>
              <w:spacing w:line="240" w:lineRule="auto"/>
              <w:ind w:left="1050" w:hanging="1050" w:hangingChars="50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法治意识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树立权利与义务统一的观念，自觉履行法定义务、主动承担社会责任；强化守法意识、规则意识、责任意识、程序意识，倡导契约精神，弘扬公序良俗。</w:t>
            </w:r>
          </w:p>
          <w:p>
            <w:pPr>
              <w:spacing w:line="240" w:lineRule="auto"/>
              <w:ind w:left="1050" w:hanging="1050" w:hangingChars="500"/>
              <w:jc w:val="both"/>
              <w:rPr>
                <w:rFonts w:hint="eastAsia" w:ascii="宋体" w:hAnsi="宋体" w:eastAsia="宋体" w:cs="宋体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公共参与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养成自觉守法、遇事找法、解决问题靠法的思维习惯和行为方式，提高以法治思维和法治方式维护自身权利，参与社会公共事务、化解矛盾纠纷的能力。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971" w:type="dxa"/>
            <w:vMerge w:val="continue"/>
          </w:tcPr>
          <w:p>
            <w:pPr>
              <w:pStyle w:val="2"/>
              <w:shd w:val="clear" w:color="auto" w:fill="FFFFFF"/>
              <w:spacing w:line="240" w:lineRule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005" w:type="dxa"/>
            <w:vMerge w:val="continue"/>
          </w:tcPr>
          <w:p>
            <w:pPr>
              <w:spacing w:line="240" w:lineRule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971" w:type="dxa"/>
            <w:vMerge w:val="continue"/>
          </w:tcPr>
          <w:p>
            <w:pPr>
              <w:pStyle w:val="2"/>
              <w:shd w:val="clear" w:color="auto" w:fill="FFFFFF"/>
              <w:spacing w:line="240" w:lineRule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005" w:type="dxa"/>
            <w:vMerge w:val="continue"/>
          </w:tcPr>
          <w:p>
            <w:pPr>
              <w:spacing w:line="240" w:lineRule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2971" w:type="dxa"/>
            <w:vMerge w:val="continue"/>
          </w:tcPr>
          <w:p>
            <w:pPr>
              <w:pStyle w:val="2"/>
              <w:shd w:val="clear" w:color="auto" w:fill="FFFFFF"/>
              <w:spacing w:line="240" w:lineRule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005" w:type="dxa"/>
            <w:vMerge w:val="continue"/>
          </w:tcPr>
          <w:p>
            <w:pPr>
              <w:spacing w:line="240" w:lineRule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971" w:type="dxa"/>
            <w:vMerge w:val="continue"/>
          </w:tcPr>
          <w:p>
            <w:pPr>
              <w:pStyle w:val="2"/>
              <w:shd w:val="clear" w:color="auto" w:fill="FFFFFF"/>
              <w:spacing w:line="240" w:lineRule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6005" w:type="dxa"/>
            <w:vMerge w:val="continue"/>
          </w:tcPr>
          <w:p>
            <w:pPr>
              <w:spacing w:line="240" w:lineRule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【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预习单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  <w:t>前置自主学习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  <w:t>任务一：自主检测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 xml:space="preserve">1.社会争议解决方式有哪些？   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2.调解的含义、类型、效力？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 xml:space="preserve">3.仲裁的作用、种类、特点？   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4.诉讼的含义、地位、特点、主要类型及区别？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 xml:space="preserve">5.公民的诉讼权利有哪些？     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6.法律援助的范围有哪些？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auto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 xml:space="preserve">7.诉讼的程序有哪些？         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8.证据的重要性及举证责任？</w:t>
      </w:r>
    </w:p>
    <w:p>
      <w:pPr>
        <w:pStyle w:val="2"/>
        <w:spacing w:line="240" w:lineRule="auto"/>
        <w:jc w:val="both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  <w:t>任务二：构建单元框架体系，明确内在联系。</w:t>
      </w:r>
    </w:p>
    <w:p>
      <w:pPr>
        <w:pStyle w:val="2"/>
        <w:spacing w:line="240" w:lineRule="auto"/>
        <w:jc w:val="left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spacing w:line="240" w:lineRule="auto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spacing w:line="240" w:lineRule="auto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spacing w:line="240" w:lineRule="auto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spacing w:line="240" w:lineRule="auto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spacing w:line="240" w:lineRule="auto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spacing w:line="240" w:lineRule="auto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spacing w:line="240" w:lineRule="auto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spacing w:line="240" w:lineRule="auto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spacing w:line="240" w:lineRule="auto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spacing w:line="240" w:lineRule="auto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spacing w:line="240" w:lineRule="auto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spacing w:line="240" w:lineRule="auto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spacing w:line="240" w:lineRule="auto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spacing w:line="240" w:lineRule="auto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spacing w:line="240" w:lineRule="auto"/>
        <w:rPr>
          <w:rFonts w:hint="eastAsia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【课堂活动单】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  <w:t>总议题：社会争议解决何以维护公平正义？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0"/>
          <w:szCs w:val="20"/>
          <w:lang w:val="en-US" w:eastAsia="zh-CN"/>
        </w:rPr>
        <w:t>环节一：以和为贵选调解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eastAsiaTheme="minorEastAsia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0"/>
          <w:szCs w:val="20"/>
          <w:lang w:val="en-US" w:eastAsia="zh-CN"/>
        </w:rPr>
        <w:t xml:space="preserve">    </w:t>
      </w:r>
      <w:r>
        <w:rPr>
          <w:rFonts w:hint="eastAsia" w:eastAsiaTheme="minorEastAsia"/>
          <w:color w:val="auto"/>
          <w:lang w:val="en-US" w:eastAsia="zh-CN"/>
        </w:rPr>
        <w:t>例1</w:t>
      </w:r>
      <w:r>
        <w:rPr>
          <w:rFonts w:hint="eastAsia"/>
          <w:color w:val="auto"/>
          <w:lang w:val="en-US" w:eastAsia="zh-CN"/>
        </w:rPr>
        <w:t>.</w:t>
      </w:r>
      <w:r>
        <w:rPr>
          <w:rFonts w:hint="eastAsia" w:eastAsiaTheme="minorEastAsia"/>
          <w:color w:val="auto"/>
          <w:lang w:val="en-US" w:eastAsia="zh-CN"/>
        </w:rPr>
        <w:t>（2023·全国文综卷）阅读材料，完成下列要求。</w:t>
      </w:r>
    </w:p>
    <w:p>
      <w:pPr>
        <w:spacing w:line="240" w:lineRule="auto"/>
        <w:rPr>
          <w:rFonts w:hint="eastAsia" w:eastAsiaTheme="minorEastAsia"/>
          <w:color w:val="auto"/>
          <w:lang w:val="en-US" w:eastAsia="zh-CN"/>
        </w:rPr>
      </w:pPr>
      <w:r>
        <w:rPr>
          <w:rFonts w:hint="eastAsia" w:eastAsiaTheme="minorEastAsia"/>
          <w:color w:val="auto"/>
          <w:lang w:val="en-US" w:eastAsia="zh-CN"/>
        </w:rPr>
        <w:t xml:space="preserve">    小张系成年人，为做生意向父亲老张借款10万元，在借条中承诺3年后归还。借款到期后，老张见小张生意红火，便要求小张还款。小张以父母有义务帮助扶持自己为由拒绝还款，并表示如果一定要还款则以后不照料老张的生活。老张无奈之下向人民调解委员会中请调解。</w:t>
      </w:r>
    </w:p>
    <w:p>
      <w:pPr>
        <w:pStyle w:val="2"/>
        <w:spacing w:line="240" w:lineRule="auto"/>
        <w:ind w:firstLine="422" w:firstLineChars="200"/>
        <w:jc w:val="left"/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假如你是人民调解员，请运用《法律与生活》的相关知识，分析小张的做法和说法的不当之处，并给当事人提出两条解决纠纷的建议。(10 分)</w:t>
      </w:r>
    </w:p>
    <w:p>
      <w:pPr>
        <w:pStyle w:val="2"/>
        <w:spacing w:line="240" w:lineRule="auto"/>
        <w:ind w:firstLine="422" w:firstLineChars="200"/>
        <w:jc w:val="left"/>
        <w:rPr>
          <w:rFonts w:hint="default"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【</w:t>
      </w:r>
      <w:r>
        <w:rPr>
          <w:rFonts w:hint="eastAsia" w:asciiTheme="minorHAnsi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要求</w:t>
      </w: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】</w:t>
      </w:r>
      <w:r>
        <w:rPr>
          <w:rFonts w:hint="eastAsia" w:asciiTheme="minorHAnsi" w:cstheme="minorBidi"/>
          <w:b w:val="0"/>
          <w:bCs w:val="0"/>
          <w:color w:val="auto"/>
          <w:kern w:val="2"/>
          <w:sz w:val="21"/>
          <w:szCs w:val="24"/>
          <w:lang w:val="en-US" w:eastAsia="zh-CN" w:bidi="ar-SA"/>
        </w:rPr>
        <w:t>小组合作探究，限时3分钟。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  <w:t>情境语言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  <w:t>教材语言</w:t>
            </w:r>
          </w:p>
        </w:tc>
        <w:tc>
          <w:tcPr>
            <w:tcW w:w="284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  <w:t>答案语言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40" w:type="dxa"/>
          </w:tcPr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40" w:type="dxa"/>
          </w:tcPr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840" w:type="dxa"/>
          </w:tcPr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40" w:type="dxa"/>
          </w:tcPr>
          <w:p>
            <w:pPr>
              <w:tabs>
                <w:tab w:val="left" w:pos="1918"/>
              </w:tabs>
              <w:bidi w:val="0"/>
              <w:spacing w:line="240" w:lineRule="auto"/>
              <w:jc w:val="left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tabs>
                <w:tab w:val="left" w:pos="1918"/>
              </w:tabs>
              <w:bidi w:val="0"/>
              <w:spacing w:line="240" w:lineRule="auto"/>
              <w:jc w:val="left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2"/>
              <w:shd w:val="clear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hd w:val="clear" w:color="auto" w:fill="FFFFFF"/>
        <w:spacing w:line="240" w:lineRule="auto"/>
        <w:jc w:val="center"/>
        <w:rPr>
          <w:rFonts w:hint="eastAsia" w:ascii="黑体" w:hAnsi="黑体" w:eastAsia="黑体" w:cs="黑体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0"/>
          <w:szCs w:val="20"/>
          <w:lang w:val="en-US" w:eastAsia="zh-CN"/>
        </w:rPr>
        <w:t>环节二：便捷经济选仲裁</w:t>
      </w:r>
    </w:p>
    <w:p>
      <w:pPr>
        <w:pStyle w:val="2"/>
        <w:shd w:val="clear" w:color="auto" w:fill="FFFFFF"/>
        <w:spacing w:line="240" w:lineRule="auto"/>
        <w:ind w:firstLine="420" w:firstLineChars="200"/>
        <w:jc w:val="both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  <w:t>例2</w:t>
      </w:r>
      <w:r>
        <w:rPr>
          <w:rFonts w:hint="eastAsia"/>
          <w:color w:val="auto"/>
          <w:lang w:val="en-US" w:eastAsia="zh-CN"/>
        </w:rPr>
        <w:t>.</w:t>
      </w: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  <w:t> （2023·广东卷）2022年12月15日，甲方（××预制菜有限责任公司）与乙方（××商场）签订预制菜买卖合同，合同金额100万元，交货时间为2023年1月5日，任何一方违约，违约方须向对方支付违约金11万元。合同签订后，乙方如约向甲方支付了定金10万元。后因临近春节，预制菜价格上涨，2022年12月25日，甲方致电乙方要求提价，乙方不同意，甲方遂要求解除合同，乙方亦拒绝。合同期满后，甲方未履行合同义务，乙方单方面向其所在地A市仲裁委员会申请仲裁，要求甲方承担违约金并双倍返还定金。</w:t>
      </w:r>
    </w:p>
    <w:p>
      <w:pPr>
        <w:pStyle w:val="2"/>
        <w:spacing w:line="240" w:lineRule="auto"/>
        <w:ind w:firstLine="422" w:firstLineChars="200"/>
        <w:jc w:val="left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结合材料，运用《法律与生活》知识回答：A市仲裁委员会是否应当受理？乙方要求甲方承担违约金并双倍返还定金是否合法？请分别说明理由。（7分）</w:t>
      </w:r>
    </w:p>
    <w:p>
      <w:pPr>
        <w:pStyle w:val="2"/>
        <w:spacing w:line="240" w:lineRule="auto"/>
        <w:ind w:firstLine="422" w:firstLineChars="200"/>
        <w:jc w:val="left"/>
        <w:rPr>
          <w:rFonts w:hint="default"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【</w:t>
      </w:r>
      <w:r>
        <w:rPr>
          <w:rFonts w:hint="eastAsia" w:asciiTheme="minorHAnsi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要求</w:t>
      </w: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】</w:t>
      </w:r>
      <w:r>
        <w:rPr>
          <w:rFonts w:hint="eastAsia" w:asciiTheme="minorHAnsi" w:cstheme="minorBidi"/>
          <w:b w:val="0"/>
          <w:bCs w:val="0"/>
          <w:color w:val="auto"/>
          <w:kern w:val="2"/>
          <w:sz w:val="21"/>
          <w:szCs w:val="24"/>
          <w:lang w:val="en-US" w:eastAsia="zh-CN" w:bidi="ar-SA"/>
        </w:rPr>
        <w:t>同桌交流，</w:t>
      </w:r>
      <w:r>
        <w:rPr>
          <w:rFonts w:hint="eastAsia"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4"/>
          <w:lang w:val="en-US" w:eastAsia="zh-CN" w:bidi="ar-SA"/>
        </w:rPr>
        <w:t>限时3分钟。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  <w:t>情境语言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  <w:t>教材语言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  <w:t>答案语言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840" w:type="dxa"/>
          </w:tcPr>
          <w:p>
            <w:pPr>
              <w:pStyle w:val="2"/>
              <w:shd w:val="clear" w:color="auto" w:fill="FFFFFF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shd w:val="clear" w:color="auto" w:fill="FFFFFF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shd w:val="clear" w:color="auto" w:fill="FFFFFF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2"/>
              <w:shd w:val="clear" w:color="auto" w:fill="FFFFFF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2"/>
              <w:shd w:val="clear" w:color="auto" w:fill="FFFFFF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840" w:type="dxa"/>
          </w:tcPr>
          <w:p>
            <w:pPr>
              <w:pStyle w:val="2"/>
              <w:shd w:val="clear" w:color="auto" w:fill="FFFFFF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2"/>
              <w:shd w:val="clear" w:color="auto" w:fill="FFFFFF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2"/>
              <w:shd w:val="clear" w:color="auto" w:fill="FFFFFF"/>
              <w:spacing w:line="240" w:lineRule="auto"/>
              <w:jc w:val="left"/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pacing w:line="240" w:lineRule="auto"/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</w:pPr>
    </w:p>
    <w:p>
      <w:pPr>
        <w:pStyle w:val="2"/>
        <w:spacing w:line="240" w:lineRule="auto"/>
        <w:jc w:val="center"/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1"/>
          <w:szCs w:val="21"/>
          <w:lang w:val="en-US" w:eastAsia="zh-CN"/>
        </w:rPr>
        <w:t>环节三：最后途径是诉讼</w:t>
      </w:r>
    </w:p>
    <w:p>
      <w:pPr>
        <w:shd w:val="clear" w:color="auto" w:fill="FFFFFF"/>
        <w:spacing w:line="240" w:lineRule="auto"/>
        <w:ind w:firstLine="420" w:firstLineChars="200"/>
        <w:jc w:val="left"/>
        <w:textAlignment w:val="center"/>
        <w:rPr>
          <w:color w:val="auto"/>
        </w:rPr>
      </w:pPr>
      <w:r>
        <w:rPr>
          <w:rFonts w:hint="eastAsia"/>
          <w:color w:val="auto"/>
          <w:lang w:val="en-US" w:eastAsia="zh-CN"/>
        </w:rPr>
        <w:t>例3</w:t>
      </w:r>
      <w:r>
        <w:rPr>
          <w:color w:val="auto"/>
        </w:rPr>
        <w:t>．</w:t>
      </w:r>
      <w:r>
        <w:rPr>
          <w:rFonts w:ascii="楷体" w:hAnsi="楷体" w:eastAsia="楷体" w:cs="楷体"/>
          <w:color w:val="auto"/>
        </w:rPr>
        <w:t>随着人们生活水平的提高，越来越多市民选择饲养各种宠物来增添生活的乐趣，但随之而来的因饲养宠物妨碍和影响他人生活引起的纠纷，逐渐成为较为突出的社会问题。</w:t>
      </w:r>
    </w:p>
    <w:p>
      <w:pPr>
        <w:shd w:val="clear" w:color="auto" w:fill="FFFFFF"/>
        <w:spacing w:line="240" w:lineRule="auto"/>
        <w:ind w:firstLine="420"/>
        <w:jc w:val="left"/>
        <w:textAlignment w:val="center"/>
        <w:rPr>
          <w:color w:val="auto"/>
        </w:rPr>
      </w:pPr>
      <w:r>
        <w:rPr>
          <w:rFonts w:ascii="楷体" w:hAnsi="楷体" w:eastAsia="楷体" w:cs="楷体"/>
          <w:color w:val="auto"/>
        </w:rPr>
        <w:t>2021年10月3日晚，广州市增城区的李某去天河区探亲。在天河区，经过邻居王某家门口时，被王某饲养的宠物狗抓伤了，随后被送到医院接受治疗。李某要求王某赔偿医药费、误工费、交通费、整容费等共计1万元，遭到王某拒绝。</w:t>
      </w:r>
    </w:p>
    <w:p>
      <w:pPr>
        <w:shd w:val="clear" w:color="auto" w:fill="FFFFFF"/>
        <w:spacing w:line="240" w:lineRule="auto"/>
        <w:ind w:firstLine="420" w:firstLineChars="0"/>
        <w:jc w:val="left"/>
        <w:textAlignment w:val="center"/>
        <w:rPr>
          <w:color w:val="auto"/>
        </w:rPr>
      </w:pPr>
      <w:r>
        <w:rPr>
          <w:color w:val="auto"/>
        </w:rPr>
        <w:t>李某准备将王某起诉至xx人民法院。请你根据材料，填写下列横线部分，帮李某完成民事起诉状。</w:t>
      </w:r>
    </w:p>
    <w:p>
      <w:pPr>
        <w:shd w:val="clear" w:color="auto" w:fill="FFFFFF"/>
        <w:spacing w:line="240" w:lineRule="auto"/>
        <w:ind w:firstLine="420" w:firstLineChars="0"/>
        <w:jc w:val="left"/>
        <w:textAlignment w:val="center"/>
        <w:rPr>
          <w:color w:val="auto"/>
        </w:rPr>
      </w:pP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【</w:t>
      </w:r>
      <w:r>
        <w:rPr>
          <w:rFonts w:hint="eastAsia" w:asciiTheme="minorHAnsi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要求</w:t>
      </w: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】</w:t>
      </w:r>
      <w:r>
        <w:rPr>
          <w:rFonts w:hint="eastAsia"/>
          <w:color w:val="auto"/>
          <w:lang w:val="en-US" w:eastAsia="zh-CN"/>
        </w:rPr>
        <w:t>小组合作探究，限时5分钟。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8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民事起诉状</w:t>
            </w:r>
          </w:p>
          <w:p>
            <w:pPr>
              <w:shd w:val="clear" w:color="auto" w:fill="FFFFFF"/>
              <w:spacing w:line="240" w:lineRule="auto"/>
              <w:ind w:firstLine="422" w:firstLineChars="200"/>
              <w:jc w:val="left"/>
              <w:textAlignment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原告：</w:t>
            </w:r>
            <w:r>
              <w:rPr>
                <w:color w:val="auto"/>
              </w:rPr>
              <w:t>①_________________（当事人信息，略）</w:t>
            </w:r>
          </w:p>
          <w:p>
            <w:pPr>
              <w:shd w:val="clear" w:color="auto" w:fill="FFFFFF"/>
              <w:spacing w:line="240" w:lineRule="auto"/>
              <w:ind w:firstLine="422" w:firstLineChars="200"/>
              <w:jc w:val="left"/>
              <w:textAlignment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被告：</w:t>
            </w:r>
            <w:r>
              <w:rPr>
                <w:color w:val="auto"/>
              </w:rPr>
              <w:t>②_________________（当事人信息，略）</w:t>
            </w:r>
          </w:p>
          <w:p>
            <w:pPr>
              <w:shd w:val="clear" w:color="auto" w:fill="FFFFFF"/>
              <w:spacing w:line="240" w:lineRule="auto"/>
              <w:ind w:firstLine="422" w:firstLineChars="200"/>
              <w:jc w:val="left"/>
              <w:textAlignment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诉讼请求：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（即原告对于被告的要求，或者原告期待的法院对于案件的处理意见。）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color w:val="auto"/>
              </w:rPr>
              <w:t>③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u w:val="single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2．本案诉讼费用全部由被告承担。</w:t>
            </w:r>
          </w:p>
          <w:p>
            <w:pPr>
              <w:shd w:val="clear" w:color="auto" w:fill="FFFFFF"/>
              <w:spacing w:line="240" w:lineRule="auto"/>
              <w:ind w:firstLine="422" w:firstLineChars="200"/>
              <w:jc w:val="left"/>
              <w:textAlignment w:val="center"/>
              <w:rPr>
                <w:rFonts w:hint="default"/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</w:rPr>
              <w:t>事实与理由：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（原告提出诉讼请求的事实依据与法律依据）（注明时间、地点和经过）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center"/>
              <w:rPr>
                <w:rFonts w:hint="eastAsia"/>
                <w:color w:val="auto"/>
                <w:u w:val="single"/>
                <w:lang w:val="en-US" w:eastAsia="zh-CN"/>
              </w:rPr>
            </w:pPr>
            <w:r>
              <w:rPr>
                <w:color w:val="auto"/>
              </w:rPr>
              <w:t>④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u w:val="single"/>
                <w:lang w:val="en-US" w:eastAsia="zh-CN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color w:val="auto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u w:val="single"/>
                <w:lang w:val="en-US" w:eastAsia="zh-CN"/>
              </w:rPr>
              <w:t xml:space="preserve">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color w:val="auto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u w:val="single"/>
                <w:lang w:val="en-US" w:eastAsia="zh-CN"/>
              </w:rPr>
              <w:t xml:space="preserve">                                                                             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此致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⑤_________________人民法院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附：本诉状副本2份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证据和证据来源（略）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150" w:firstLineChars="1500"/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起诉人：李某（签字或盖章）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right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color w:val="auto"/>
              </w:rPr>
              <w:t>2022年9月28日</w:t>
            </w:r>
            <w:r>
              <w:rPr>
                <w:rFonts w:hint="eastAsia"/>
                <w:color w:val="auto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【巩固单】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1．（2023·湖南·统考高考真题）党的二十大报告强调"完善公益诉讼制度"。公益诉讼制度捍卫公共利益，从顶层设计到实践落地，从局部试点到全面推开，受到广泛关注。以下案例属于公益诉讼范畴的是(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①某医疗科技公司诉某健康科技公司名誉权纠纷案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②陈某在某世界自然遗产地“金顶摩崖”刻字案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③孙某与某通信公司隐私权、个人信息保护纠纷案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④罗某侵害抗美援朝“冰雕连”英雄烈士名誉、荣誉案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A.①②</w:t>
      </w:r>
      <w:r>
        <w:rPr>
          <w:rFonts w:hint="eastAsia" w:ascii="宋体" w:hAnsi="宋体" w:eastAsia="宋体" w:cs="宋体"/>
          <w:color w:va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lang w:val="en-US" w:eastAsia="zh-CN"/>
        </w:rPr>
        <w:t>B．①③</w:t>
      </w:r>
      <w:r>
        <w:rPr>
          <w:rFonts w:hint="eastAsia" w:ascii="宋体" w:hAnsi="宋体" w:eastAsia="宋体" w:cs="宋体"/>
          <w:color w:va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lang w:val="en-US" w:eastAsia="zh-CN"/>
        </w:rPr>
        <w:t>C．②④</w:t>
      </w:r>
      <w:r>
        <w:rPr>
          <w:rFonts w:hint="eastAsia" w:ascii="宋体" w:hAnsi="宋体" w:eastAsia="宋体" w:cs="宋体"/>
          <w:color w:va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lang w:val="en-US" w:eastAsia="zh-CN"/>
        </w:rPr>
        <w:t>D．③④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2．（2023·浙江·统考高考真题）张某和李某系夫妻，育有二子（张甲和张乙）一女（张丙），张某、李某与张甲（残疾且失业）共同生活，2023年1月5日，张某过世，家人准备继承其遗产，下列说法中正确的是（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①因张某未立遗嘱，李某可对法定继承的顺序和份额做出安排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②无论张某订立遗嘱还是遗赠，应当为张甲保留必要的遗产份额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③若对遗产分割有异议，张乙可以申请人民调节委员会进行调解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④若不满自己遗产份额，张丙可通过诉讼或仲裁方式解决争议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A.①②              B.①④           C.②③             D.③④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3.（2023·全国·统考高考真题）某日，夏某到甲餐厅用餐，餐厅员工擅自将其品尝新菜的画面拍摄下来，并将照片作为宣传文章的内容发布在餐厅官方微信公众号上，照片中夏某的脸部和身体特征清晰可辨。夏某得知此事后，要求甲餐厅删除该照片，遭到拒绝。夏某遂向人民法院提起诉讼。对此，下列说法正确的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①甲餐厅侵害了夏某的荣誉权      ②甲餐厅侵害了夏某的肖像权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③甲餐厅发布的照片属于物证      ④夏某与甲餐厅之间的诉讼属于民事诉讼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A.①③</w:t>
      </w:r>
      <w:r>
        <w:rPr>
          <w:rFonts w:hint="eastAsia" w:ascii="宋体" w:hAnsi="宋体" w:eastAsia="宋体" w:cs="宋体"/>
          <w:color w:va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lang w:val="en-US" w:eastAsia="zh-CN"/>
        </w:rPr>
        <w:t>B．①④</w:t>
      </w:r>
      <w:r>
        <w:rPr>
          <w:rFonts w:hint="eastAsia" w:ascii="宋体" w:hAnsi="宋体" w:eastAsia="宋体" w:cs="宋体"/>
          <w:color w:va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lang w:val="en-US" w:eastAsia="zh-CN"/>
        </w:rPr>
        <w:t>C．②③</w:t>
      </w:r>
      <w:r>
        <w:rPr>
          <w:rFonts w:hint="eastAsia" w:ascii="宋体" w:hAnsi="宋体" w:eastAsia="宋体" w:cs="宋体"/>
          <w:color w:va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lang w:val="en-US" w:eastAsia="zh-CN"/>
        </w:rPr>
        <w:t>D．②④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4．（2023·山东·统考高考真题）甲公司从乙公司购入一批配件，约定“因本合同发生的一切争议，均由A仲裁委员会仲裁”。后该批配件迟延两个月才交货，且用该批配件生产的甲公司产品造成了数起伤人事故。甲公司召回产品检验后，意外发现配件内部设计使用了自己的发明专利，因此要求乙公司承担侵权责任。乙公司则申请行政主管部门宣告甲公司的专利权无效。据此，下列说法正确的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①针对配件迟延交货之事，甲公司无权请求法院判决乙公司承担违约责任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②针对甲公司产品造成的伤人事故，甲公司即使无过错也应向受害人承担责任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③若主管部门作出了专利权无效宣告，甲公司可向法院起诉且需承担举证责任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④即使乙公司申请失败，仍可通过证明自己系独立作出相同发明来实现免责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A．①②</w:t>
      </w:r>
      <w:r>
        <w:rPr>
          <w:rFonts w:hint="eastAsia" w:ascii="宋体" w:hAnsi="宋体" w:eastAsia="宋体" w:cs="宋体"/>
          <w:color w:va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lang w:val="en-US" w:eastAsia="zh-CN"/>
        </w:rPr>
        <w:t>B．①④</w:t>
      </w:r>
      <w:r>
        <w:rPr>
          <w:rFonts w:hint="eastAsia" w:ascii="宋体" w:hAnsi="宋体" w:eastAsia="宋体" w:cs="宋体"/>
          <w:color w:va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lang w:val="en-US" w:eastAsia="zh-CN"/>
        </w:rPr>
        <w:t>C．②③</w:t>
      </w:r>
      <w:r>
        <w:rPr>
          <w:rFonts w:hint="eastAsia" w:ascii="宋体" w:hAnsi="宋体" w:eastAsia="宋体" w:cs="宋体"/>
          <w:color w:val="auto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lang w:val="en-US" w:eastAsia="zh-CN"/>
        </w:rPr>
        <w:t>D．③④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5．（2023·江苏南通·统考三模）李某某以修建养殖场或复垦为由，在未取得矿石开釆许可证的情况下，擅自非法开采石头，并进行销售。经鉴定，李某某开采造成生态环境和国家矿产资源造成了严重破坏，该地质环境修复费用需9100元。人民检察院依法向仁怀市人民法院提起刑事附带民事公益诉讼。对此分析正确的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A．李某某如不服一审判决，可随时申请启动审判监督程序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B．本次案件被告人有罪的举证责任只能由人民检察院承担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C．为更好维护自身权益，李某某有委托诉讼代理人的权利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firstLine="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D．李某某可依据过错推定侵权责任提供其行为正当的证据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6．（2023·江苏扬州·统考模拟预测）</w:t>
      </w: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【缘起】村民郭某伐树被砸伤，同伴通知其村委会主任杜某。杜某急忙赶到医院，医生告知郭某伤情严重，有生命危险，需签字立即实施手术。因当时无法联系到郭某家人，杜某在医院出具的手术治疗知情同意书上签了字。手术及治疗结束后，郭某遗留偏瘫残疾。后郭某以杜某在手术单上签字致医疗事故发生为由，起诉杜某承担赔偿责任。</w:t>
      </w: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【分歧】郭某认为：杜某未经本人或家人同意在手术单上签字，与医疗事故的发生构成因果关系，应承担侵权责任。杜某认为：自己是危及情况下的救人之举，郭某的残疾与自己签字无关，不应承担责任。</w:t>
      </w: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【裁判】法院审理后认为：杜某签字的目的，是为及时救治郭某，其签字本身并非违法行为，主观上亦不存在侵权故意。杜某对郭某的损害不具有过错，不应承担赔偿责任，遂判决驳回郭某的诉讼请求。</w:t>
      </w: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【法条】《民法典》第一百八十四条规定：“因自愿实施紧急教助行为造成受助人损害的，救助人不承担民事责任”。</w:t>
      </w:r>
    </w:p>
    <w:p>
      <w:pPr>
        <w:spacing w:line="240" w:lineRule="auto"/>
        <w:ind w:firstLine="420" w:firstLineChars="20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结合材料，运用《法律与生活》的知识，对法院的判决结果加以评析。</w:t>
      </w:r>
    </w:p>
    <w:p>
      <w:pPr>
        <w:spacing w:line="240" w:lineRule="auto"/>
        <w:rPr>
          <w:rFonts w:hint="eastAsia"/>
          <w:color w:val="auto"/>
          <w:lang w:val="en-US" w:eastAsia="zh-CN"/>
        </w:rPr>
      </w:pPr>
    </w:p>
    <w:p>
      <w:pPr>
        <w:spacing w:line="240" w:lineRule="auto"/>
        <w:rPr>
          <w:rFonts w:hint="eastAsia"/>
          <w:color w:val="auto"/>
          <w:lang w:val="en-US" w:eastAsia="zh-CN"/>
        </w:rPr>
      </w:pPr>
    </w:p>
    <w:p>
      <w:pPr>
        <w:spacing w:line="240" w:lineRule="auto"/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br w:type="page"/>
      </w:r>
    </w:p>
    <w:p>
      <w:pPr>
        <w:spacing w:line="240" w:lineRule="auto"/>
        <w:rPr>
          <w:rFonts w:hint="default"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参考答案：</w:t>
      </w:r>
      <w:r>
        <w:rPr>
          <w:rFonts w:hint="eastAsia"/>
          <w:color w:val="auto"/>
          <w:lang w:val="en-US" w:eastAsia="zh-CN"/>
        </w:rPr>
        <w:t>1-5CCDAC</w:t>
      </w:r>
    </w:p>
    <w:p>
      <w:pPr>
        <w:spacing w:line="240" w:lineRule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6.【答案】民法典规定，行为人因过错侵害他人民事权益造成损售的，应当承担侵权责任。该案中杜某无过错，其行为属于自愿实施紧急救助从不应承担赔偿责任。</w:t>
      </w:r>
    </w:p>
    <w:p>
      <w:pPr>
        <w:spacing w:line="240" w:lineRule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人民法院的判决坚持以事实为依据，以法律为准绳，维护了社会公平正义。</w:t>
      </w:r>
    </w:p>
    <w:p>
      <w:pPr>
        <w:spacing w:line="240" w:lineRule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面依法治国必须坚持法治与德治相结合。该判决体现了司法机关积极推动社会主义核心价值观融入法治实践，有利于弘扬见义勇为、助人为乐、互帮互助的传统美德。促进形成时代新风尚，做到了法律效果与社会效果的统一。</w:t>
      </w:r>
    </w:p>
    <w:p>
      <w:pPr>
        <w:spacing w:line="240" w:lineRule="auto"/>
        <w:rPr>
          <w:rFonts w:hint="eastAsia"/>
          <w:color w:val="auto"/>
          <w:lang w:val="en-US" w:eastAsia="zh-CN"/>
        </w:rPr>
      </w:pPr>
    </w:p>
    <w:p>
      <w:pPr>
        <w:spacing w:line="240" w:lineRule="auto"/>
        <w:rPr>
          <w:rFonts w:hint="eastAsia"/>
          <w:color w:val="auto"/>
          <w:lang w:val="en-US" w:eastAsia="zh-CN"/>
        </w:rPr>
      </w:pPr>
    </w:p>
    <w:p>
      <w:pPr>
        <w:spacing w:line="240" w:lineRule="auto"/>
        <w:rPr>
          <w:rFonts w:hint="eastAsia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  <w:rPr>
        <w:rFonts w:hint="default" w:ascii="Times New Roman" w:hAnsi="Times New Roman" w:eastAsia="宋体" w:cs="Times New Roman"/>
        <w:kern w:val="2"/>
        <w:sz w:val="18"/>
        <w:szCs w:val="18"/>
        <w:u w:val="single"/>
        <w:lang w:val="en-US" w:eastAsia="zh-CN" w:bidi="ar-SA"/>
      </w:rPr>
    </w:pPr>
    <w:r>
      <w:rPr>
        <w:rFonts w:hint="eastAsia" w:ascii="Times New Roman" w:hAnsi="Times New Roman" w:eastAsia="宋体" w:cs="Times New Roman"/>
        <w:kern w:val="2"/>
        <w:sz w:val="18"/>
        <w:szCs w:val="18"/>
        <w:u w:val="single"/>
        <w:lang w:val="en-US" w:eastAsia="zh-CN" w:bidi="ar-SA"/>
      </w:rPr>
      <w:t xml:space="preserve">泰兴市第一高级中学校本教学案     高三政治 007  编写人：侯娟    审核人：黄群 </w:t>
    </w:r>
    <w:r>
      <w:rPr>
        <w:rFonts w:hint="eastAsia" w:ascii="Times New Roman" w:hAnsi="Times New Roman" w:eastAsia="宋体" w:cs="Times New Roman"/>
        <w:kern w:val="2"/>
        <w:sz w:val="18"/>
        <w:szCs w:val="18"/>
        <w:u w:val="single"/>
        <w:lang w:val="en-US" w:eastAsia="zh-CN" w:bidi="ar-SA"/>
      </w:rPr>
      <w:tab/>
    </w:r>
    <w:r>
      <w:rPr>
        <w:rFonts w:hint="eastAsia" w:ascii="Times New Roman" w:hAnsi="Times New Roman" w:eastAsia="宋体" w:cs="Times New Roman"/>
        <w:kern w:val="2"/>
        <w:sz w:val="18"/>
        <w:szCs w:val="18"/>
        <w:u w:val="single"/>
        <w:lang w:val="en-US" w:eastAsia="zh-CN" w:bidi="ar-SA"/>
      </w:rPr>
      <w:tab/>
    </w:r>
    <w:r>
      <w:rPr>
        <w:rFonts w:hint="eastAsia" w:ascii="Times New Roman" w:hAnsi="Times New Roman" w:eastAsia="宋体" w:cs="Times New Roman"/>
        <w:kern w:val="2"/>
        <w:sz w:val="18"/>
        <w:szCs w:val="18"/>
        <w:u w:val="single"/>
        <w:lang w:val="en-US" w:eastAsia="zh-CN" w:bidi="ar-SA"/>
      </w:rPr>
      <w:t xml:space="preserve"> 02312/1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162972"/>
    <w:multiLevelType w:val="singleLevel"/>
    <w:tmpl w:val="37162972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MWIyMmI5MjY2MDdlY2ViZjQ2MTQxNDRiZGMzOTIifQ=="/>
  </w:docVars>
  <w:rsids>
    <w:rsidRoot w:val="00000000"/>
    <w:rsid w:val="00A566D5"/>
    <w:rsid w:val="02532A52"/>
    <w:rsid w:val="04833646"/>
    <w:rsid w:val="14891A12"/>
    <w:rsid w:val="15297A27"/>
    <w:rsid w:val="156D0C34"/>
    <w:rsid w:val="3635547B"/>
    <w:rsid w:val="36AF3F8D"/>
    <w:rsid w:val="3AEE244B"/>
    <w:rsid w:val="3D564DB0"/>
    <w:rsid w:val="3F9133A5"/>
    <w:rsid w:val="43037AF2"/>
    <w:rsid w:val="4B46598C"/>
    <w:rsid w:val="4BAB0E86"/>
    <w:rsid w:val="4D9D1B7D"/>
    <w:rsid w:val="58971CDF"/>
    <w:rsid w:val="5AC73A22"/>
    <w:rsid w:val="5B3F365D"/>
    <w:rsid w:val="5BBB7CD0"/>
    <w:rsid w:val="5F6C2A3D"/>
    <w:rsid w:val="5FEC606C"/>
    <w:rsid w:val="60B63933"/>
    <w:rsid w:val="6A333127"/>
    <w:rsid w:val="6B304F15"/>
    <w:rsid w:val="6BB1653C"/>
    <w:rsid w:val="6EAE6B68"/>
    <w:rsid w:val="6FD9332D"/>
    <w:rsid w:val="727918F3"/>
    <w:rsid w:val="75A30E58"/>
    <w:rsid w:val="783334EF"/>
    <w:rsid w:val="7A2A1C29"/>
    <w:rsid w:val="7BC7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hd w:val="clear" w:color="auto" w:fill="FFFFFF"/>
      <w:spacing w:line="405" w:lineRule="exact"/>
      <w:jc w:val="distribute"/>
    </w:pPr>
    <w:rPr>
      <w:rFonts w:ascii="宋体"/>
      <w:kern w:val="0"/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2023-11-27T05:54:00Z</dcterms:created>
  <dc:creator>叶飞</dc:creator>
  <cp:lastModifiedBy>一生有你</cp:lastModifiedBy>
  <cp:lastPrinted>2023-12-05T07:00:00Z</cp:lastPrinted>
  <dcterms:modified xsi:type="dcterms:W3CDTF">2023-12-05T07:08:37Z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1D6293A7C10B45299D61AA9E4A566F64_13</vt:lpwstr>
  </property>
</Properties>
</file>