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5E7D" w14:textId="77777777" w:rsidR="00FF64D1" w:rsidRDefault="00000000">
      <w:pPr>
        <w:adjustRightInd w:val="0"/>
        <w:snapToGrid w:val="0"/>
        <w:spacing w:line="360" w:lineRule="auto"/>
        <w:jc w:val="center"/>
        <w:rPr>
          <w:rFonts w:ascii="宋体" w:eastAsia="宋体" w:hAnsi="宋体" w:cs="Times New Roman"/>
          <w:b/>
          <w:bCs/>
          <w:color w:val="000000"/>
          <w:sz w:val="52"/>
          <w:szCs w:val="52"/>
        </w:rPr>
      </w:pPr>
      <w:bookmarkStart w:id="0" w:name="_Hlk148775843"/>
      <w:bookmarkEnd w:id="0"/>
      <w:r>
        <w:rPr>
          <w:rFonts w:ascii="宋体" w:eastAsia="宋体" w:hAnsi="宋体" w:cs="Times New Roman" w:hint="eastAsia"/>
          <w:b/>
          <w:bCs/>
          <w:color w:val="000000"/>
          <w:sz w:val="52"/>
          <w:szCs w:val="52"/>
        </w:rPr>
        <w:t xml:space="preserve">泰州市 </w:t>
      </w:r>
      <w:r>
        <w:rPr>
          <w:rFonts w:ascii="宋体" w:eastAsia="宋体" w:hAnsi="宋体" w:cs="宋体" w:hint="eastAsia"/>
          <w:kern w:val="0"/>
          <w:sz w:val="48"/>
          <w:szCs w:val="48"/>
        </w:rPr>
        <w:t xml:space="preserve">• </w:t>
      </w:r>
      <w:r>
        <w:rPr>
          <w:rFonts w:ascii="宋体" w:eastAsia="宋体" w:hAnsi="宋体" w:cs="Times New Roman" w:hint="eastAsia"/>
          <w:b/>
          <w:bCs/>
          <w:color w:val="000000"/>
          <w:sz w:val="52"/>
          <w:szCs w:val="52"/>
        </w:rPr>
        <w:t>泰兴市</w:t>
      </w:r>
    </w:p>
    <w:p w14:paraId="6C45EDC0" w14:textId="77777777" w:rsidR="00FF64D1" w:rsidRDefault="00000000">
      <w:pPr>
        <w:adjustRightInd w:val="0"/>
        <w:snapToGrid w:val="0"/>
        <w:spacing w:line="360" w:lineRule="auto"/>
        <w:jc w:val="center"/>
        <w:rPr>
          <w:rFonts w:ascii="黑体" w:eastAsia="黑体" w:hAnsi="Calibri" w:cs="Times New Roman"/>
          <w:color w:val="FF0000"/>
          <w:sz w:val="52"/>
          <w:szCs w:val="52"/>
        </w:rPr>
      </w:pPr>
      <w:r>
        <w:rPr>
          <w:rFonts w:ascii="宋体" w:eastAsia="宋体" w:hAnsi="宋体" w:cs="Times New Roman" w:hint="eastAsia"/>
          <w:b/>
          <w:bCs/>
          <w:color w:val="000000"/>
          <w:sz w:val="52"/>
          <w:szCs w:val="52"/>
        </w:rPr>
        <w:t>高中地理名师工作室</w:t>
      </w:r>
    </w:p>
    <w:p w14:paraId="51BEC0D5" w14:textId="77777777" w:rsidR="00FF64D1" w:rsidRDefault="00000000">
      <w:pPr>
        <w:spacing w:line="720" w:lineRule="auto"/>
        <w:jc w:val="center"/>
        <w:rPr>
          <w:rFonts w:ascii="仿宋" w:eastAsia="仿宋" w:hAnsi="仿宋" w:cs="Times New Roman"/>
          <w:b/>
          <w:color w:val="FF0000"/>
          <w:sz w:val="88"/>
          <w:szCs w:val="88"/>
        </w:rPr>
      </w:pPr>
      <w:r>
        <w:rPr>
          <w:rFonts w:ascii="仿宋" w:eastAsia="仿宋" w:hAnsi="仿宋" w:cs="Times New Roman" w:hint="eastAsia"/>
          <w:b/>
          <w:color w:val="FF0000"/>
          <w:sz w:val="88"/>
          <w:szCs w:val="88"/>
        </w:rPr>
        <w:t>简  报</w:t>
      </w:r>
    </w:p>
    <w:p w14:paraId="1DF87C61" w14:textId="77777777" w:rsidR="00FF64D1" w:rsidRDefault="00000000">
      <w:pPr>
        <w:spacing w:line="720" w:lineRule="auto"/>
        <w:jc w:val="center"/>
        <w:rPr>
          <w:rFonts w:ascii="仿宋" w:eastAsia="仿宋" w:hAnsi="仿宋" w:cs="Times New Roman"/>
          <w:b/>
          <w:sz w:val="32"/>
          <w:szCs w:val="72"/>
        </w:rPr>
      </w:pPr>
      <w:r>
        <w:rPr>
          <w:rFonts w:ascii="仿宋" w:eastAsia="仿宋" w:hAnsi="仿宋" w:cs="Times New Roman" w:hint="eastAsia"/>
          <w:b/>
          <w:sz w:val="32"/>
          <w:szCs w:val="72"/>
        </w:rPr>
        <w:t>（总第1期）2023年 11月20日</w:t>
      </w:r>
    </w:p>
    <w:p w14:paraId="60C85646" w14:textId="77777777" w:rsidR="00FF64D1" w:rsidRDefault="00000000">
      <w:pPr>
        <w:spacing w:line="360" w:lineRule="auto"/>
        <w:ind w:firstLineChars="50" w:firstLine="161"/>
        <w:jc w:val="left"/>
        <w:rPr>
          <w:rFonts w:ascii="仿宋" w:eastAsia="仿宋" w:hAnsi="仿宋" w:cs="Times New Roman"/>
          <w:b/>
          <w:sz w:val="32"/>
          <w:szCs w:val="72"/>
        </w:rPr>
      </w:pPr>
      <w:r>
        <w:rPr>
          <w:rFonts w:ascii="仿宋" w:eastAsia="仿宋" w:hAnsi="仿宋" w:cs="Times New Roman" w:hint="eastAsia"/>
          <w:b/>
          <w:sz w:val="32"/>
          <w:szCs w:val="72"/>
        </w:rPr>
        <w:t>编辑：叶莹</w:t>
      </w:r>
    </w:p>
    <w:p w14:paraId="00A2AEC0" w14:textId="77777777" w:rsidR="00FF64D1" w:rsidRDefault="00000000">
      <w:pPr>
        <w:spacing w:line="360" w:lineRule="auto"/>
        <w:ind w:firstLineChars="50" w:firstLine="161"/>
        <w:jc w:val="left"/>
        <w:rPr>
          <w:rFonts w:ascii="宋体" w:eastAsia="宋体" w:hAnsi="宋体" w:cs="Times New Roman"/>
          <w:b/>
          <w:color w:val="C00000"/>
          <w:sz w:val="44"/>
          <w:szCs w:val="72"/>
        </w:rPr>
      </w:pPr>
      <w:r>
        <w:rPr>
          <w:rFonts w:ascii="仿宋" w:eastAsia="仿宋" w:hAnsi="仿宋" w:cs="Times New Roman" w:hint="eastAsia"/>
          <w:b/>
          <w:sz w:val="32"/>
          <w:szCs w:val="72"/>
        </w:rPr>
        <w:t>审核：何芬</w:t>
      </w:r>
      <w:r>
        <w:rPr>
          <w:rFonts w:ascii="宋体" w:eastAsia="宋体" w:hAnsi="宋体" w:cs="Times New Roman"/>
          <w:b/>
          <w:noProof/>
          <w:color w:val="C00000"/>
          <w:sz w:val="32"/>
          <w:szCs w:val="72"/>
        </w:rPr>
        <mc:AlternateContent>
          <mc:Choice Requires="wps">
            <w:drawing>
              <wp:anchor distT="0" distB="0" distL="114300" distR="114300" simplePos="0" relativeHeight="251659264" behindDoc="0" locked="0" layoutInCell="1" allowOverlap="1" wp14:anchorId="4479760F" wp14:editId="02B2FFE9">
                <wp:simplePos x="0" y="0"/>
                <wp:positionH relativeFrom="column">
                  <wp:posOffset>-47625</wp:posOffset>
                </wp:positionH>
                <wp:positionV relativeFrom="paragraph">
                  <wp:posOffset>467995</wp:posOffset>
                </wp:positionV>
                <wp:extent cx="5210175" cy="0"/>
                <wp:effectExtent l="0" t="13970" r="9525" b="24130"/>
                <wp:wrapNone/>
                <wp:docPr id="1" name="直接连接符 1"/>
                <wp:cNvGraphicFramePr/>
                <a:graphic xmlns:a="http://schemas.openxmlformats.org/drawingml/2006/main">
                  <a:graphicData uri="http://schemas.microsoft.com/office/word/2010/wordprocessingShape">
                    <wps:wsp>
                      <wps:cNvCnPr/>
                      <wps:spPr>
                        <a:xfrm>
                          <a:off x="0" y="0"/>
                          <a:ext cx="5210175" cy="0"/>
                        </a:xfrm>
                        <a:prstGeom prst="line">
                          <a:avLst/>
                        </a:prstGeom>
                        <a:noFill/>
                        <a:ln w="28575" cap="flat" cmpd="sng" algn="ctr">
                          <a:solidFill>
                            <a:srgbClr val="FF0000"/>
                          </a:soli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D50F4D"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75pt,36.85pt" to="406.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" strokecolor="red" strokeweight="2.25pt">
                <v:stroke joinstyle="miter"/>
              </v:line>
            </w:pict>
          </mc:Fallback>
        </mc:AlternateContent>
      </w:r>
    </w:p>
    <w:p w14:paraId="7C169DC4" w14:textId="77777777" w:rsidR="00FF64D1" w:rsidRDefault="00FF64D1">
      <w:pPr>
        <w:adjustRightInd w:val="0"/>
        <w:snapToGrid w:val="0"/>
        <w:rPr>
          <w:rFonts w:ascii="宋体" w:eastAsia="宋体" w:hAnsi="宋体" w:cs="宋体"/>
          <w:kern w:val="0"/>
          <w:sz w:val="28"/>
          <w:szCs w:val="28"/>
        </w:rPr>
      </w:pPr>
    </w:p>
    <w:p w14:paraId="0AAF53E1" w14:textId="77777777" w:rsidR="00FF64D1" w:rsidRDefault="00000000">
      <w:pPr>
        <w:adjustRightInd w:val="0"/>
        <w:snapToGrid w:val="0"/>
        <w:rPr>
          <w:rFonts w:ascii="宋体" w:eastAsia="宋体" w:hAnsi="宋体" w:cs="宋体"/>
          <w:kern w:val="0"/>
          <w:sz w:val="28"/>
          <w:szCs w:val="28"/>
        </w:rPr>
      </w:pPr>
      <w:r>
        <w:rPr>
          <w:rFonts w:ascii="宋体" w:eastAsia="宋体" w:hAnsi="宋体" w:cs="宋体" w:hint="eastAsia"/>
          <w:kern w:val="0"/>
          <w:sz w:val="28"/>
          <w:szCs w:val="28"/>
        </w:rPr>
        <w:t>一、活动时间：11月20日全天。</w:t>
      </w:r>
    </w:p>
    <w:p w14:paraId="03319E82" w14:textId="77777777" w:rsidR="00FF64D1" w:rsidRDefault="00000000">
      <w:pPr>
        <w:adjustRightInd w:val="0"/>
        <w:snapToGrid w:val="0"/>
        <w:rPr>
          <w:rFonts w:ascii="宋体" w:eastAsia="宋体" w:hAnsi="宋体" w:cs="宋体"/>
          <w:kern w:val="0"/>
          <w:sz w:val="28"/>
          <w:szCs w:val="28"/>
        </w:rPr>
      </w:pPr>
      <w:r>
        <w:rPr>
          <w:rFonts w:ascii="宋体" w:eastAsia="宋体" w:hAnsi="宋体" w:cs="宋体" w:hint="eastAsia"/>
          <w:kern w:val="0"/>
          <w:sz w:val="28"/>
          <w:szCs w:val="28"/>
        </w:rPr>
        <w:t>二、参加人员：泰兴市高中地理名师工作室成员。</w:t>
      </w:r>
    </w:p>
    <w:p w14:paraId="219A8472" w14:textId="77777777" w:rsidR="00FF64D1" w:rsidRDefault="00000000">
      <w:pPr>
        <w:adjustRightInd w:val="0"/>
        <w:snapToGrid w:val="0"/>
        <w:rPr>
          <w:rFonts w:ascii="宋体" w:eastAsia="宋体" w:hAnsi="宋体" w:cs="宋体"/>
          <w:kern w:val="0"/>
          <w:sz w:val="28"/>
          <w:szCs w:val="28"/>
        </w:rPr>
      </w:pPr>
      <w:r>
        <w:rPr>
          <w:rFonts w:ascii="宋体" w:eastAsia="宋体" w:hAnsi="宋体" w:cs="宋体" w:hint="eastAsia"/>
          <w:kern w:val="0"/>
          <w:sz w:val="28"/>
          <w:szCs w:val="28"/>
        </w:rPr>
        <w:t>三、活动形式：课堂观察、专家讲座、研学实践。</w:t>
      </w:r>
    </w:p>
    <w:p w14:paraId="3FD7CB21" w14:textId="77777777" w:rsidR="00FF64D1" w:rsidRDefault="00000000">
      <w:pPr>
        <w:adjustRightInd w:val="0"/>
        <w:snapToGrid w:val="0"/>
        <w:rPr>
          <w:rFonts w:ascii="宋体" w:eastAsia="宋体" w:hAnsi="宋体" w:cs="宋体"/>
          <w:kern w:val="0"/>
          <w:sz w:val="28"/>
          <w:szCs w:val="28"/>
        </w:rPr>
      </w:pPr>
      <w:r>
        <w:rPr>
          <w:rFonts w:ascii="宋体" w:eastAsia="宋体" w:hAnsi="宋体" w:cs="宋体" w:hint="eastAsia"/>
          <w:kern w:val="0"/>
          <w:sz w:val="28"/>
          <w:szCs w:val="28"/>
        </w:rPr>
        <w:t>四、活动内容：</w:t>
      </w:r>
    </w:p>
    <w:p w14:paraId="549886EE" w14:textId="77777777" w:rsidR="00FF64D1" w:rsidRDefault="00000000">
      <w:pPr>
        <w:adjustRightInd w:val="0"/>
        <w:snapToGrid w:val="0"/>
        <w:ind w:firstLineChars="100" w:firstLine="280"/>
        <w:rPr>
          <w:rFonts w:ascii="宋体" w:eastAsia="宋体" w:hAnsi="宋体" w:cs="宋体"/>
          <w:kern w:val="0"/>
          <w:sz w:val="28"/>
          <w:szCs w:val="28"/>
        </w:rPr>
      </w:pPr>
      <w:r>
        <w:rPr>
          <w:rFonts w:ascii="宋体" w:eastAsia="宋体" w:hAnsi="宋体" w:cs="宋体" w:hint="eastAsia"/>
          <w:kern w:val="0"/>
          <w:sz w:val="28"/>
          <w:szCs w:val="28"/>
        </w:rPr>
        <w:t>1. “对分课堂”教学观摩</w:t>
      </w:r>
    </w:p>
    <w:tbl>
      <w:tblPr>
        <w:tblStyle w:val="a3"/>
        <w:tblW w:w="0" w:type="auto"/>
        <w:jc w:val="center"/>
        <w:tblLook w:val="04A0" w:firstRow="1" w:lastRow="0" w:firstColumn="1" w:lastColumn="0" w:noHBand="0" w:noVBand="1"/>
      </w:tblPr>
      <w:tblGrid>
        <w:gridCol w:w="2083"/>
        <w:gridCol w:w="2081"/>
        <w:gridCol w:w="2066"/>
        <w:gridCol w:w="2066"/>
      </w:tblGrid>
      <w:tr w:rsidR="00FF64D1" w14:paraId="1E20FE07" w14:textId="77777777">
        <w:trPr>
          <w:jc w:val="center"/>
        </w:trPr>
        <w:tc>
          <w:tcPr>
            <w:tcW w:w="2130" w:type="dxa"/>
          </w:tcPr>
          <w:p w14:paraId="7A7D3F69" w14:textId="77777777" w:rsidR="00FF64D1" w:rsidRDefault="00000000">
            <w:pPr>
              <w:adjustRightInd w:val="0"/>
              <w:snapToGrid w:val="0"/>
              <w:spacing w:line="360" w:lineRule="auto"/>
              <w:jc w:val="center"/>
            </w:pPr>
            <w:r>
              <w:rPr>
                <w:rFonts w:hint="eastAsia"/>
              </w:rPr>
              <w:t>时间</w:t>
            </w:r>
          </w:p>
        </w:tc>
        <w:tc>
          <w:tcPr>
            <w:tcW w:w="2130" w:type="dxa"/>
          </w:tcPr>
          <w:p w14:paraId="31F68F03" w14:textId="77777777" w:rsidR="00FF64D1" w:rsidRDefault="00000000">
            <w:pPr>
              <w:adjustRightInd w:val="0"/>
              <w:snapToGrid w:val="0"/>
              <w:spacing w:line="360" w:lineRule="auto"/>
              <w:jc w:val="center"/>
            </w:pPr>
            <w:r>
              <w:rPr>
                <w:rFonts w:hint="eastAsia"/>
              </w:rPr>
              <w:t>班级</w:t>
            </w:r>
          </w:p>
        </w:tc>
        <w:tc>
          <w:tcPr>
            <w:tcW w:w="2131" w:type="dxa"/>
          </w:tcPr>
          <w:p w14:paraId="5AD94745" w14:textId="77777777" w:rsidR="00FF64D1" w:rsidRDefault="00000000">
            <w:pPr>
              <w:adjustRightInd w:val="0"/>
              <w:snapToGrid w:val="0"/>
              <w:spacing w:line="360" w:lineRule="auto"/>
              <w:jc w:val="center"/>
            </w:pPr>
            <w:r>
              <w:rPr>
                <w:rFonts w:hint="eastAsia"/>
              </w:rPr>
              <w:t>授课教师</w:t>
            </w:r>
          </w:p>
        </w:tc>
        <w:tc>
          <w:tcPr>
            <w:tcW w:w="2131" w:type="dxa"/>
          </w:tcPr>
          <w:p w14:paraId="5C901275" w14:textId="77777777" w:rsidR="00FF64D1" w:rsidRDefault="00000000">
            <w:pPr>
              <w:adjustRightInd w:val="0"/>
              <w:snapToGrid w:val="0"/>
              <w:spacing w:line="360" w:lineRule="auto"/>
              <w:jc w:val="center"/>
            </w:pPr>
            <w:r>
              <w:rPr>
                <w:rFonts w:hint="eastAsia"/>
              </w:rPr>
              <w:t>授课内容</w:t>
            </w:r>
          </w:p>
        </w:tc>
      </w:tr>
      <w:tr w:rsidR="00FF64D1" w14:paraId="17C3914A" w14:textId="77777777">
        <w:trPr>
          <w:jc w:val="center"/>
        </w:trPr>
        <w:tc>
          <w:tcPr>
            <w:tcW w:w="2130" w:type="dxa"/>
          </w:tcPr>
          <w:p w14:paraId="72BE1F1E" w14:textId="77777777" w:rsidR="00FF64D1" w:rsidRDefault="00000000">
            <w:pPr>
              <w:adjustRightInd w:val="0"/>
              <w:snapToGrid w:val="0"/>
              <w:spacing w:line="360" w:lineRule="auto"/>
              <w:jc w:val="center"/>
            </w:pPr>
            <w:r>
              <w:rPr>
                <w:rFonts w:hint="eastAsia"/>
              </w:rPr>
              <w:t>10:00</w:t>
            </w:r>
            <w:r>
              <w:rPr>
                <w:rFonts w:hint="eastAsia"/>
              </w:rPr>
              <w:t>—</w:t>
            </w:r>
            <w:r>
              <w:rPr>
                <w:rFonts w:hint="eastAsia"/>
              </w:rPr>
              <w:t>10:40</w:t>
            </w:r>
          </w:p>
        </w:tc>
        <w:tc>
          <w:tcPr>
            <w:tcW w:w="2130" w:type="dxa"/>
          </w:tcPr>
          <w:p w14:paraId="02BCB42B" w14:textId="77777777" w:rsidR="00FF64D1" w:rsidRDefault="00000000">
            <w:pPr>
              <w:adjustRightInd w:val="0"/>
              <w:snapToGrid w:val="0"/>
              <w:spacing w:line="360" w:lineRule="auto"/>
              <w:jc w:val="center"/>
            </w:pPr>
            <w:r>
              <w:rPr>
                <w:rFonts w:hint="eastAsia"/>
              </w:rPr>
              <w:t>高三（</w:t>
            </w:r>
            <w:r>
              <w:rPr>
                <w:rFonts w:hint="eastAsia"/>
              </w:rPr>
              <w:t>5</w:t>
            </w:r>
            <w:r>
              <w:rPr>
                <w:rFonts w:hint="eastAsia"/>
              </w:rPr>
              <w:t>）</w:t>
            </w:r>
          </w:p>
        </w:tc>
        <w:tc>
          <w:tcPr>
            <w:tcW w:w="2131" w:type="dxa"/>
          </w:tcPr>
          <w:p w14:paraId="1C588940" w14:textId="77777777" w:rsidR="00FF64D1" w:rsidRDefault="00000000">
            <w:pPr>
              <w:adjustRightInd w:val="0"/>
              <w:snapToGrid w:val="0"/>
              <w:spacing w:line="360" w:lineRule="auto"/>
              <w:jc w:val="center"/>
            </w:pPr>
            <w:r>
              <w:rPr>
                <w:rFonts w:hint="eastAsia"/>
              </w:rPr>
              <w:t>王晓秦</w:t>
            </w:r>
          </w:p>
        </w:tc>
        <w:tc>
          <w:tcPr>
            <w:tcW w:w="2131" w:type="dxa"/>
          </w:tcPr>
          <w:p w14:paraId="0B961580" w14:textId="77777777" w:rsidR="00FF64D1" w:rsidRDefault="00000000">
            <w:pPr>
              <w:adjustRightInd w:val="0"/>
              <w:snapToGrid w:val="0"/>
              <w:spacing w:line="360" w:lineRule="auto"/>
              <w:jc w:val="center"/>
            </w:pPr>
            <w:r>
              <w:rPr>
                <w:rFonts w:hint="eastAsia"/>
              </w:rPr>
              <w:t>植被与环境</w:t>
            </w:r>
          </w:p>
        </w:tc>
      </w:tr>
      <w:tr w:rsidR="00FF64D1" w14:paraId="75C3B994" w14:textId="77777777">
        <w:trPr>
          <w:jc w:val="center"/>
        </w:trPr>
        <w:tc>
          <w:tcPr>
            <w:tcW w:w="2130" w:type="dxa"/>
          </w:tcPr>
          <w:p w14:paraId="44A989CA" w14:textId="77777777" w:rsidR="00FF64D1" w:rsidRDefault="00000000">
            <w:pPr>
              <w:adjustRightInd w:val="0"/>
              <w:snapToGrid w:val="0"/>
              <w:spacing w:line="360" w:lineRule="auto"/>
              <w:jc w:val="center"/>
            </w:pPr>
            <w:r>
              <w:rPr>
                <w:rFonts w:hint="eastAsia"/>
              </w:rPr>
              <w:t>10:55</w:t>
            </w:r>
            <w:r>
              <w:rPr>
                <w:rFonts w:hint="eastAsia"/>
              </w:rPr>
              <w:t>—</w:t>
            </w:r>
            <w:r>
              <w:rPr>
                <w:rFonts w:hint="eastAsia"/>
              </w:rPr>
              <w:t>11:35</w:t>
            </w:r>
          </w:p>
        </w:tc>
        <w:tc>
          <w:tcPr>
            <w:tcW w:w="2130" w:type="dxa"/>
          </w:tcPr>
          <w:p w14:paraId="3717F648" w14:textId="77777777" w:rsidR="00FF64D1" w:rsidRDefault="00000000">
            <w:pPr>
              <w:adjustRightInd w:val="0"/>
              <w:snapToGrid w:val="0"/>
              <w:spacing w:line="360" w:lineRule="auto"/>
              <w:jc w:val="center"/>
            </w:pPr>
            <w:r>
              <w:rPr>
                <w:rFonts w:hint="eastAsia"/>
              </w:rPr>
              <w:t>高一（</w:t>
            </w:r>
            <w:r>
              <w:rPr>
                <w:rFonts w:hint="eastAsia"/>
              </w:rPr>
              <w:t>12</w:t>
            </w:r>
            <w:r>
              <w:rPr>
                <w:rFonts w:hint="eastAsia"/>
              </w:rPr>
              <w:t>）</w:t>
            </w:r>
          </w:p>
        </w:tc>
        <w:tc>
          <w:tcPr>
            <w:tcW w:w="2131" w:type="dxa"/>
          </w:tcPr>
          <w:p w14:paraId="2D4FF136" w14:textId="77777777" w:rsidR="00FF64D1" w:rsidRDefault="00000000">
            <w:pPr>
              <w:adjustRightInd w:val="0"/>
              <w:snapToGrid w:val="0"/>
              <w:spacing w:line="360" w:lineRule="auto"/>
              <w:jc w:val="center"/>
            </w:pPr>
            <w:r>
              <w:rPr>
                <w:rFonts w:hint="eastAsia"/>
              </w:rPr>
              <w:t>孙艳红</w:t>
            </w:r>
          </w:p>
        </w:tc>
        <w:tc>
          <w:tcPr>
            <w:tcW w:w="2131" w:type="dxa"/>
          </w:tcPr>
          <w:p w14:paraId="6EE58246" w14:textId="77777777" w:rsidR="00FF64D1" w:rsidRDefault="00000000">
            <w:pPr>
              <w:adjustRightInd w:val="0"/>
              <w:snapToGrid w:val="0"/>
              <w:spacing w:line="360" w:lineRule="auto"/>
              <w:jc w:val="center"/>
            </w:pPr>
            <w:r>
              <w:rPr>
                <w:rFonts w:hint="eastAsia"/>
              </w:rPr>
              <w:t>喀斯特地貌</w:t>
            </w:r>
          </w:p>
        </w:tc>
      </w:tr>
    </w:tbl>
    <w:p w14:paraId="70B3503C" w14:textId="77777777" w:rsidR="00FF64D1" w:rsidRDefault="00000000">
      <w:pPr>
        <w:adjustRightInd w:val="0"/>
        <w:snapToGrid w:val="0"/>
        <w:ind w:firstLineChars="100" w:firstLine="280"/>
        <w:rPr>
          <w:rFonts w:ascii="宋体" w:eastAsia="宋体" w:hAnsi="宋体" w:cs="宋体"/>
          <w:kern w:val="0"/>
          <w:sz w:val="28"/>
          <w:szCs w:val="28"/>
        </w:rPr>
      </w:pPr>
      <w:r>
        <w:rPr>
          <w:rFonts w:ascii="宋体" w:eastAsia="宋体" w:hAnsi="宋体" w:cs="宋体" w:hint="eastAsia"/>
          <w:kern w:val="0"/>
          <w:sz w:val="28"/>
          <w:szCs w:val="28"/>
        </w:rPr>
        <w:t>2.专家讲座</w:t>
      </w:r>
    </w:p>
    <w:p w14:paraId="2A19F62C" w14:textId="77777777" w:rsidR="00FF64D1" w:rsidRDefault="00000000">
      <w:pPr>
        <w:adjustRightInd w:val="0"/>
        <w:snapToGrid w:val="0"/>
        <w:rPr>
          <w:rFonts w:ascii="宋体" w:eastAsia="宋体" w:hAnsi="宋体" w:cs="宋体"/>
          <w:kern w:val="0"/>
          <w:sz w:val="28"/>
          <w:szCs w:val="28"/>
        </w:rPr>
      </w:pPr>
      <w:r>
        <w:rPr>
          <w:rFonts w:ascii="宋体" w:eastAsia="宋体" w:hAnsi="宋体" w:cs="宋体" w:hint="eastAsia"/>
          <w:kern w:val="0"/>
          <w:sz w:val="28"/>
          <w:szCs w:val="28"/>
        </w:rPr>
        <w:t>《对分课堂范式在地理教学中的应用》——马莉莉</w:t>
      </w:r>
    </w:p>
    <w:p w14:paraId="4105D0DF" w14:textId="77777777" w:rsidR="00FF64D1" w:rsidRDefault="00000000">
      <w:pPr>
        <w:adjustRightInd w:val="0"/>
        <w:snapToGrid w:val="0"/>
        <w:rPr>
          <w:rFonts w:ascii="宋体" w:eastAsia="宋体" w:hAnsi="宋体" w:cs="宋体"/>
          <w:kern w:val="0"/>
          <w:sz w:val="28"/>
          <w:szCs w:val="28"/>
        </w:rPr>
      </w:pPr>
      <w:r>
        <w:rPr>
          <w:rFonts w:ascii="宋体" w:eastAsia="宋体" w:hAnsi="宋体" w:cs="宋体" w:hint="eastAsia"/>
          <w:kern w:val="0"/>
          <w:sz w:val="28"/>
          <w:szCs w:val="28"/>
        </w:rPr>
        <w:t>《乞力马扎罗山和马达加斯加考察分享》——蔡明</w:t>
      </w:r>
    </w:p>
    <w:p w14:paraId="172AE184" w14:textId="77777777" w:rsidR="00FF64D1" w:rsidRDefault="00000000">
      <w:pPr>
        <w:adjustRightInd w:val="0"/>
        <w:snapToGrid w:val="0"/>
        <w:ind w:firstLineChars="100" w:firstLine="280"/>
        <w:rPr>
          <w:rFonts w:ascii="宋体" w:eastAsia="宋体" w:hAnsi="宋体" w:cs="宋体"/>
          <w:kern w:val="0"/>
          <w:sz w:val="28"/>
          <w:szCs w:val="28"/>
        </w:rPr>
      </w:pPr>
      <w:r>
        <w:rPr>
          <w:rFonts w:ascii="宋体" w:eastAsia="宋体" w:hAnsi="宋体" w:cs="宋体" w:hint="eastAsia"/>
          <w:kern w:val="0"/>
          <w:sz w:val="28"/>
          <w:szCs w:val="28"/>
        </w:rPr>
        <w:t>3.研学实践</w:t>
      </w:r>
    </w:p>
    <w:p w14:paraId="631A4B02" w14:textId="77777777" w:rsidR="00FF64D1" w:rsidRDefault="00000000">
      <w:pPr>
        <w:adjustRightInd w:val="0"/>
        <w:snapToGrid w:val="0"/>
        <w:ind w:firstLineChars="100" w:firstLine="280"/>
        <w:rPr>
          <w:rFonts w:ascii="宋体" w:eastAsia="宋体" w:hAnsi="宋体" w:cs="宋体"/>
          <w:kern w:val="0"/>
          <w:sz w:val="28"/>
          <w:szCs w:val="28"/>
        </w:rPr>
      </w:pPr>
      <w:r>
        <w:rPr>
          <w:rFonts w:ascii="宋体" w:eastAsia="宋体" w:hAnsi="宋体" w:cs="宋体" w:hint="eastAsia"/>
          <w:kern w:val="0"/>
          <w:sz w:val="28"/>
          <w:szCs w:val="28"/>
        </w:rPr>
        <w:t>苏州天平山花岗岩地貌考察</w:t>
      </w:r>
    </w:p>
    <w:p w14:paraId="02BC8590" w14:textId="77777777" w:rsidR="00FF64D1" w:rsidRDefault="00FF64D1">
      <w:pPr>
        <w:adjustRightInd w:val="0"/>
        <w:snapToGrid w:val="0"/>
        <w:ind w:firstLineChars="100" w:firstLine="280"/>
        <w:rPr>
          <w:rFonts w:ascii="宋体" w:eastAsia="宋体" w:hAnsi="宋体" w:cs="宋体"/>
          <w:kern w:val="0"/>
          <w:sz w:val="28"/>
          <w:szCs w:val="28"/>
        </w:rPr>
      </w:pPr>
    </w:p>
    <w:p w14:paraId="155CA621" w14:textId="77777777" w:rsidR="00FF64D1" w:rsidRDefault="00FF64D1">
      <w:pPr>
        <w:adjustRightInd w:val="0"/>
        <w:snapToGrid w:val="0"/>
        <w:ind w:firstLineChars="100" w:firstLine="280"/>
        <w:rPr>
          <w:rFonts w:ascii="宋体" w:eastAsia="宋体" w:hAnsi="宋体" w:cs="宋体"/>
          <w:kern w:val="0"/>
          <w:sz w:val="28"/>
          <w:szCs w:val="28"/>
        </w:rPr>
      </w:pPr>
    </w:p>
    <w:p w14:paraId="1E5DF80A" w14:textId="77777777" w:rsidR="00FF64D1" w:rsidRDefault="00FF64D1">
      <w:pPr>
        <w:adjustRightInd w:val="0"/>
        <w:snapToGrid w:val="0"/>
        <w:ind w:firstLineChars="100" w:firstLine="280"/>
        <w:rPr>
          <w:rFonts w:ascii="宋体" w:eastAsia="宋体" w:hAnsi="宋体" w:cs="宋体"/>
          <w:kern w:val="0"/>
          <w:sz w:val="28"/>
          <w:szCs w:val="28"/>
        </w:rPr>
      </w:pPr>
    </w:p>
    <w:p w14:paraId="16015D05" w14:textId="77777777" w:rsidR="00FF64D1" w:rsidRDefault="00FF64D1">
      <w:pPr>
        <w:adjustRightInd w:val="0"/>
        <w:snapToGrid w:val="0"/>
        <w:ind w:firstLineChars="100" w:firstLine="280"/>
        <w:rPr>
          <w:rFonts w:ascii="宋体" w:eastAsia="宋体" w:hAnsi="宋体" w:cs="宋体"/>
          <w:kern w:val="0"/>
          <w:sz w:val="28"/>
          <w:szCs w:val="28"/>
        </w:rPr>
      </w:pPr>
    </w:p>
    <w:p w14:paraId="4D5A43EF" w14:textId="77777777" w:rsidR="00FF64D1" w:rsidRDefault="00FF64D1">
      <w:pPr>
        <w:adjustRightInd w:val="0"/>
        <w:snapToGrid w:val="0"/>
        <w:ind w:firstLineChars="100" w:firstLine="280"/>
        <w:rPr>
          <w:rFonts w:ascii="宋体" w:eastAsia="宋体" w:hAnsi="宋体" w:cs="宋体"/>
          <w:kern w:val="0"/>
          <w:sz w:val="28"/>
          <w:szCs w:val="28"/>
        </w:rPr>
      </w:pPr>
    </w:p>
    <w:p w14:paraId="1AED0DBB" w14:textId="77777777" w:rsidR="00FF64D1" w:rsidRDefault="00FF64D1">
      <w:pPr>
        <w:adjustRightInd w:val="0"/>
        <w:snapToGrid w:val="0"/>
        <w:ind w:firstLineChars="100" w:firstLine="280"/>
        <w:rPr>
          <w:rFonts w:ascii="宋体" w:eastAsia="宋体" w:hAnsi="宋体" w:cs="宋体"/>
          <w:kern w:val="0"/>
          <w:sz w:val="28"/>
          <w:szCs w:val="28"/>
        </w:rPr>
      </w:pPr>
    </w:p>
    <w:p w14:paraId="1334739C" w14:textId="77777777" w:rsidR="00FF64D1" w:rsidRDefault="00FF64D1">
      <w:pPr>
        <w:adjustRightInd w:val="0"/>
        <w:snapToGrid w:val="0"/>
        <w:ind w:firstLineChars="100" w:firstLine="280"/>
        <w:rPr>
          <w:rFonts w:ascii="宋体" w:eastAsia="宋体" w:hAnsi="宋体" w:cs="宋体"/>
          <w:kern w:val="0"/>
          <w:sz w:val="28"/>
          <w:szCs w:val="28"/>
        </w:rPr>
      </w:pPr>
    </w:p>
    <w:p w14:paraId="5E43F5BF" w14:textId="77777777" w:rsidR="00FF64D1" w:rsidRDefault="00FF64D1">
      <w:pPr>
        <w:adjustRightInd w:val="0"/>
        <w:snapToGrid w:val="0"/>
        <w:rPr>
          <w:rFonts w:ascii="宋体" w:eastAsia="宋体" w:hAnsi="宋体" w:cs="宋体"/>
          <w:kern w:val="0"/>
          <w:sz w:val="28"/>
          <w:szCs w:val="28"/>
        </w:rPr>
      </w:pPr>
    </w:p>
    <w:p w14:paraId="70378490" w14:textId="77777777" w:rsidR="00FF64D1" w:rsidRDefault="00000000">
      <w:pPr>
        <w:adjustRightInd w:val="0"/>
        <w:snapToGrid w:val="0"/>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lastRenderedPageBreak/>
        <w:t>为深入推进高中地理课堂教学改革，寻求区域教研改进的新策略，切实提升课堂教学效率，促进教师专业成长，11月20日，泰兴市高中地理名师工作室联合江苏省马莉莉网络名师工作室和泰州市周玲地理名师工作室，在江苏省木渎高级中学开展以“迭代式教研下对分课堂展示”为主题的协同共研课堂创新活动。工作室领衔人何芬、泰兴市教师发展中心研训员周玲出席，全体工作室成员、泰兴市各高中教研组长和泰兴市第一高级中学全体地理老师参加了本次活动。</w:t>
      </w:r>
    </w:p>
    <w:p w14:paraId="1CE582E6" w14:textId="77777777" w:rsidR="00FF64D1" w:rsidRDefault="00000000">
      <w:pPr>
        <w:adjustRightInd w:val="0"/>
        <w:snapToGrid w:val="0"/>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工作室邀请到江苏省网络名师工作室领衔人马莉莉老师和江苏省特级教师、正高级教授蔡明教授做专题讲座。</w:t>
      </w:r>
    </w:p>
    <w:p w14:paraId="2BDB6B53" w14:textId="77777777" w:rsidR="00FF64D1" w:rsidRDefault="00FF64D1">
      <w:pPr>
        <w:adjustRightInd w:val="0"/>
        <w:snapToGrid w:val="0"/>
        <w:ind w:firstLineChars="200" w:firstLine="260"/>
        <w:jc w:val="left"/>
        <w:rPr>
          <w:rFonts w:ascii="宋体" w:eastAsia="宋体" w:hAnsi="宋体" w:cs="宋体"/>
          <w:kern w:val="0"/>
          <w:sz w:val="13"/>
          <w:szCs w:val="13"/>
        </w:rPr>
      </w:pPr>
    </w:p>
    <w:p w14:paraId="1BB12AB8" w14:textId="77777777" w:rsidR="00FF64D1" w:rsidRDefault="00000000">
      <w:pPr>
        <w:adjustRightInd w:val="0"/>
        <w:snapToGrid w:val="0"/>
        <w:jc w:val="center"/>
        <w:rPr>
          <w:sz w:val="24"/>
          <w:szCs w:val="32"/>
        </w:rPr>
      </w:pPr>
      <w:r>
        <w:rPr>
          <w:rFonts w:hint="eastAsia"/>
          <w:noProof/>
          <w:sz w:val="24"/>
          <w:szCs w:val="32"/>
        </w:rPr>
        <w:drawing>
          <wp:inline distT="0" distB="0" distL="114300" distR="114300" wp14:anchorId="281034AF" wp14:editId="10C1E968">
            <wp:extent cx="5039995" cy="2402840"/>
            <wp:effectExtent l="0" t="0" r="1905" b="10160"/>
            <wp:docPr id="2" name="图片 2" descr="0dde41893ddc685c747c906241b0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dde41893ddc685c747c906241b083d"/>
                    <pic:cNvPicPr>
                      <a:picLocks noChangeAspect="1"/>
                    </pic:cNvPicPr>
                  </pic:nvPicPr>
                  <pic:blipFill>
                    <a:blip r:embed="rId5"/>
                    <a:srcRect t="28734" r="2584" b="6069"/>
                    <a:stretch>
                      <a:fillRect/>
                    </a:stretch>
                  </pic:blipFill>
                  <pic:spPr>
                    <a:xfrm>
                      <a:off x="0" y="0"/>
                      <a:ext cx="5039995" cy="2402840"/>
                    </a:xfrm>
                    <a:prstGeom prst="rect">
                      <a:avLst/>
                    </a:prstGeom>
                  </pic:spPr>
                </pic:pic>
              </a:graphicData>
            </a:graphic>
          </wp:inline>
        </w:drawing>
      </w:r>
    </w:p>
    <w:p w14:paraId="76C086F8" w14:textId="77777777" w:rsidR="00FF64D1" w:rsidRDefault="00FF64D1">
      <w:pPr>
        <w:adjustRightInd w:val="0"/>
        <w:snapToGrid w:val="0"/>
        <w:jc w:val="center"/>
        <w:rPr>
          <w:sz w:val="13"/>
          <w:szCs w:val="16"/>
        </w:rPr>
      </w:pPr>
    </w:p>
    <w:p w14:paraId="5306C5CA" w14:textId="77777777" w:rsidR="00FF64D1" w:rsidRDefault="00000000">
      <w:pPr>
        <w:adjustRightInd w:val="0"/>
        <w:snapToGrid w:val="0"/>
        <w:ind w:firstLineChars="200" w:firstLine="560"/>
        <w:jc w:val="center"/>
        <w:rPr>
          <w:rFonts w:ascii="宋体" w:eastAsia="宋体" w:hAnsi="宋体" w:cs="宋体"/>
          <w:kern w:val="0"/>
          <w:sz w:val="28"/>
          <w:szCs w:val="28"/>
        </w:rPr>
      </w:pPr>
      <w:r>
        <w:rPr>
          <w:rFonts w:ascii="宋体" w:eastAsia="宋体" w:hAnsi="宋体" w:cs="宋体" w:hint="eastAsia"/>
          <w:kern w:val="0"/>
          <w:sz w:val="28"/>
          <w:szCs w:val="28"/>
        </w:rPr>
        <w:t>课例展示</w:t>
      </w:r>
    </w:p>
    <w:p w14:paraId="45DEAD3A" w14:textId="77777777" w:rsidR="00FF64D1" w:rsidRDefault="00000000">
      <w:pPr>
        <w:adjustRightInd w:val="0"/>
        <w:snapToGrid w:val="0"/>
        <w:ind w:firstLineChars="200" w:firstLine="560"/>
        <w:jc w:val="left"/>
        <w:rPr>
          <w:sz w:val="24"/>
          <w:szCs w:val="32"/>
        </w:rPr>
      </w:pPr>
      <w:r>
        <w:rPr>
          <w:rFonts w:ascii="宋体" w:eastAsia="宋体" w:hAnsi="宋体" w:cs="宋体" w:hint="eastAsia"/>
          <w:kern w:val="0"/>
          <w:sz w:val="28"/>
          <w:szCs w:val="28"/>
        </w:rPr>
        <w:t>王晓秦老师采用隔堂对分的方式，上节课完成了植被与环境的知识点讲授，把学生独立内化和吸收的部分安排在了课后。本节课王老师以校园内的植被类型为导入复习了世界主要植被分布与景观特征，通过展示“泰加林”和“塞罕坝人工林”为情境，学生小组讨论得出植被与自然地理环境之间的关系。最后，王老师带领同学回到校园植被，结合本节课所学启发同学们，校园植被的选择，既要适应当地的自然环境，也要考虑植物的丰富性、可观赏性、层次性等因素。</w:t>
      </w:r>
    </w:p>
    <w:p w14:paraId="0AA8518E" w14:textId="77777777" w:rsidR="00FF64D1" w:rsidRDefault="00000000">
      <w:pPr>
        <w:ind w:firstLineChars="200" w:firstLine="480"/>
        <w:jc w:val="center"/>
        <w:rPr>
          <w:sz w:val="24"/>
          <w:szCs w:val="32"/>
        </w:rPr>
      </w:pPr>
      <w:r>
        <w:rPr>
          <w:rFonts w:hint="eastAsia"/>
          <w:noProof/>
          <w:sz w:val="24"/>
          <w:szCs w:val="32"/>
        </w:rPr>
        <w:drawing>
          <wp:inline distT="0" distB="0" distL="114300" distR="114300" wp14:anchorId="7A23FE5D" wp14:editId="51E22FD8">
            <wp:extent cx="4406900" cy="2180590"/>
            <wp:effectExtent l="0" t="0" r="0" b="3810"/>
            <wp:docPr id="3" name="图片 3" descr="d759e768455ac82e84faae893ceca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759e768455ac82e84faae893cecaed"/>
                    <pic:cNvPicPr>
                      <a:picLocks noChangeAspect="1"/>
                    </pic:cNvPicPr>
                  </pic:nvPicPr>
                  <pic:blipFill>
                    <a:blip r:embed="rId6"/>
                    <a:stretch>
                      <a:fillRect/>
                    </a:stretch>
                  </pic:blipFill>
                  <pic:spPr>
                    <a:xfrm>
                      <a:off x="0" y="0"/>
                      <a:ext cx="4406900" cy="2180590"/>
                    </a:xfrm>
                    <a:prstGeom prst="rect">
                      <a:avLst/>
                    </a:prstGeom>
                  </pic:spPr>
                </pic:pic>
              </a:graphicData>
            </a:graphic>
          </wp:inline>
        </w:drawing>
      </w:r>
    </w:p>
    <w:p w14:paraId="764D7300" w14:textId="77777777" w:rsidR="00FF64D1" w:rsidRDefault="00000000">
      <w:pPr>
        <w:adjustRightInd w:val="0"/>
        <w:snapToGrid w:val="0"/>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lastRenderedPageBreak/>
        <w:t>孙艳红老师首先为同学们解释了喀斯特地貌的成因、形成条件以及在我国的分布范围。孙老师组织学生结合教材图，先独立完成表格，随后小组讨论，共同得出不同地貌类型的地貌特征。接着，孙老师用“720云”展示了世界上最大的单口射电望远镜在贵州平塘大窝凼选址，结合表现性评价表，通过递进式的设问，分析大窝凼在基建工程方面的优势。</w:t>
      </w:r>
    </w:p>
    <w:p w14:paraId="1441AC9B" w14:textId="77777777" w:rsidR="00FF64D1" w:rsidRDefault="00000000">
      <w:pPr>
        <w:ind w:firstLineChars="200" w:firstLine="480"/>
        <w:rPr>
          <w:sz w:val="24"/>
          <w:szCs w:val="32"/>
        </w:rPr>
      </w:pPr>
      <w:r>
        <w:rPr>
          <w:noProof/>
          <w:sz w:val="24"/>
          <w:szCs w:val="32"/>
        </w:rPr>
        <w:drawing>
          <wp:inline distT="0" distB="0" distL="114300" distR="114300" wp14:anchorId="6D524742" wp14:editId="0884AE5C">
            <wp:extent cx="4526280" cy="2334895"/>
            <wp:effectExtent l="0" t="0" r="7620" b="1905"/>
            <wp:docPr id="4" name="图片 4" descr="39ab1eaeb9e2c00b110f3f8d43d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9ab1eaeb9e2c00b110f3f8d43d2725"/>
                    <pic:cNvPicPr>
                      <a:picLocks noChangeAspect="1"/>
                    </pic:cNvPicPr>
                  </pic:nvPicPr>
                  <pic:blipFill>
                    <a:blip r:embed="rId7"/>
                    <a:srcRect l="10201" b="34774"/>
                    <a:stretch>
                      <a:fillRect/>
                    </a:stretch>
                  </pic:blipFill>
                  <pic:spPr>
                    <a:xfrm>
                      <a:off x="0" y="0"/>
                      <a:ext cx="4526280" cy="2334895"/>
                    </a:xfrm>
                    <a:prstGeom prst="rect">
                      <a:avLst/>
                    </a:prstGeom>
                  </pic:spPr>
                </pic:pic>
              </a:graphicData>
            </a:graphic>
          </wp:inline>
        </w:drawing>
      </w:r>
    </w:p>
    <w:p w14:paraId="36877579" w14:textId="77777777" w:rsidR="00FF64D1" w:rsidRDefault="00000000">
      <w:pPr>
        <w:adjustRightInd w:val="0"/>
        <w:snapToGrid w:val="0"/>
        <w:ind w:firstLineChars="100" w:firstLine="280"/>
        <w:jc w:val="center"/>
        <w:rPr>
          <w:rFonts w:ascii="宋体" w:eastAsia="宋体" w:hAnsi="宋体" w:cs="宋体"/>
          <w:kern w:val="0"/>
          <w:sz w:val="28"/>
          <w:szCs w:val="28"/>
        </w:rPr>
      </w:pPr>
      <w:r>
        <w:rPr>
          <w:rFonts w:ascii="宋体" w:eastAsia="宋体" w:hAnsi="宋体" w:cs="宋体" w:hint="eastAsia"/>
          <w:kern w:val="0"/>
          <w:sz w:val="28"/>
          <w:szCs w:val="28"/>
        </w:rPr>
        <w:t>专家讲座</w:t>
      </w:r>
    </w:p>
    <w:p w14:paraId="05B28185" w14:textId="77777777" w:rsidR="00FF64D1" w:rsidRDefault="00000000">
      <w:pPr>
        <w:adjustRightInd w:val="0"/>
        <w:snapToGrid w:val="0"/>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马莉莉老师做了题为《对分课堂范式在高中地理教学中的应用》的讲座。她指出对分课堂把课堂最重要的时间资源“分”给学生，把课堂的主导权“还”给学生，循序渐进地引导学生走向深度学习，更有利于学生个性化的成长和创造性的发展。马老师指出，对分课堂四元教学法只是一个操作流程的革新，要结合新课标的理念，开展“一境到底”的沉浸式学习，即将整个课堂覆盖在同一情境之中，通过一个包含逻辑问题链的真实主题情境贯穿整个课堂，让学生学会在“具体情境下解决具体问题能力”的素养生成，使学生在探究和问题解决的过程中自主建构，以达成认知、技能和情意目标。</w:t>
      </w:r>
    </w:p>
    <w:p w14:paraId="2C1F87A3" w14:textId="77777777" w:rsidR="00FF64D1" w:rsidRDefault="00000000">
      <w:pPr>
        <w:ind w:firstLineChars="200" w:firstLine="480"/>
        <w:jc w:val="left"/>
        <w:rPr>
          <w:rFonts w:ascii="宋体" w:eastAsia="宋体" w:hAnsi="宋体" w:cs="宋体"/>
          <w:sz w:val="24"/>
        </w:rPr>
      </w:pPr>
      <w:r>
        <w:rPr>
          <w:rFonts w:ascii="宋体" w:eastAsia="宋体" w:hAnsi="宋体" w:cs="宋体" w:hint="eastAsia"/>
          <w:noProof/>
          <w:sz w:val="24"/>
        </w:rPr>
        <w:drawing>
          <wp:inline distT="0" distB="0" distL="114300" distR="114300" wp14:anchorId="6521AACE" wp14:editId="57A28131">
            <wp:extent cx="4608195" cy="2536825"/>
            <wp:effectExtent l="0" t="0" r="1905" b="3175"/>
            <wp:docPr id="5" name="图片 5" descr="5acec7e576a01194845d1cf3b386d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acec7e576a01194845d1cf3b386d1e"/>
                    <pic:cNvPicPr>
                      <a:picLocks noChangeAspect="1"/>
                    </pic:cNvPicPr>
                  </pic:nvPicPr>
                  <pic:blipFill>
                    <a:blip r:embed="rId8"/>
                    <a:stretch>
                      <a:fillRect/>
                    </a:stretch>
                  </pic:blipFill>
                  <pic:spPr>
                    <a:xfrm>
                      <a:off x="0" y="0"/>
                      <a:ext cx="4608195" cy="2536825"/>
                    </a:xfrm>
                    <a:prstGeom prst="rect">
                      <a:avLst/>
                    </a:prstGeom>
                  </pic:spPr>
                </pic:pic>
              </a:graphicData>
            </a:graphic>
          </wp:inline>
        </w:drawing>
      </w:r>
    </w:p>
    <w:p w14:paraId="50A33428" w14:textId="77777777" w:rsidR="00FF64D1" w:rsidRDefault="00000000">
      <w:pPr>
        <w:adjustRightInd w:val="0"/>
        <w:snapToGrid w:val="0"/>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lastRenderedPageBreak/>
        <w:t>蔡明老师给大家带来《乞力马扎罗山和马达加斯加考察分享》的讲座。她指出，将野外调查以及获得的资料转换为有意义的叙事故事，就可以成为优秀的课程资源。其中野外调查主要分为三步：考察前，要研究和确定一个主题；考察中，要观察和记录，注意便民查询网、“两步路户外助手”、手机GPS实时海拔APP记录等软件的使用；考察后，要把获得的资料和研究转化成课程资源。蔡老师的讲座就如何将野外考察资料转化成课程资源为老师们提供了具体而清晰的思路。</w:t>
      </w:r>
    </w:p>
    <w:p w14:paraId="2014C85C" w14:textId="77777777" w:rsidR="00FF64D1" w:rsidRDefault="00000000">
      <w:pPr>
        <w:ind w:firstLineChars="200" w:firstLine="480"/>
        <w:jc w:val="left"/>
        <w:rPr>
          <w:rFonts w:ascii="宋体" w:eastAsia="宋体" w:hAnsi="宋体" w:cs="宋体"/>
          <w:sz w:val="24"/>
        </w:rPr>
      </w:pPr>
      <w:r>
        <w:rPr>
          <w:rFonts w:ascii="宋体" w:eastAsia="宋体" w:hAnsi="宋体" w:cs="宋体" w:hint="eastAsia"/>
          <w:noProof/>
          <w:sz w:val="24"/>
        </w:rPr>
        <w:drawing>
          <wp:inline distT="0" distB="0" distL="114300" distR="114300" wp14:anchorId="10432545" wp14:editId="7AF99431">
            <wp:extent cx="4888865" cy="3131820"/>
            <wp:effectExtent l="0" t="0" r="635" b="5080"/>
            <wp:docPr id="6" name="图片 6" descr="f28c398842637f3313220e2bc4b39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28c398842637f3313220e2bc4b39ad"/>
                    <pic:cNvPicPr>
                      <a:picLocks noChangeAspect="1"/>
                    </pic:cNvPicPr>
                  </pic:nvPicPr>
                  <pic:blipFill>
                    <a:blip r:embed="rId9"/>
                    <a:stretch>
                      <a:fillRect/>
                    </a:stretch>
                  </pic:blipFill>
                  <pic:spPr>
                    <a:xfrm>
                      <a:off x="0" y="0"/>
                      <a:ext cx="4888865" cy="3131820"/>
                    </a:xfrm>
                    <a:prstGeom prst="rect">
                      <a:avLst/>
                    </a:prstGeom>
                  </pic:spPr>
                </pic:pic>
              </a:graphicData>
            </a:graphic>
          </wp:inline>
        </w:drawing>
      </w:r>
    </w:p>
    <w:p w14:paraId="5857457E" w14:textId="77777777" w:rsidR="00FF64D1" w:rsidRDefault="00FF64D1">
      <w:pPr>
        <w:ind w:firstLineChars="200" w:firstLine="480"/>
        <w:jc w:val="left"/>
        <w:rPr>
          <w:rFonts w:ascii="宋体" w:eastAsia="宋体" w:hAnsi="宋体" w:cs="宋体"/>
          <w:sz w:val="24"/>
        </w:rPr>
      </w:pPr>
    </w:p>
    <w:p w14:paraId="2711C4F9" w14:textId="77777777" w:rsidR="00FF64D1" w:rsidRDefault="00000000">
      <w:pPr>
        <w:adjustRightInd w:val="0"/>
        <w:snapToGrid w:val="0"/>
        <w:ind w:firstLineChars="200" w:firstLine="560"/>
        <w:jc w:val="center"/>
        <w:rPr>
          <w:rFonts w:ascii="宋体" w:eastAsia="宋体" w:hAnsi="宋体" w:cs="宋体"/>
          <w:kern w:val="0"/>
          <w:sz w:val="28"/>
          <w:szCs w:val="28"/>
        </w:rPr>
      </w:pPr>
      <w:r>
        <w:rPr>
          <w:rFonts w:ascii="宋体" w:eastAsia="宋体" w:hAnsi="宋体" w:cs="宋体" w:hint="eastAsia"/>
          <w:kern w:val="0"/>
          <w:sz w:val="28"/>
          <w:szCs w:val="28"/>
        </w:rPr>
        <w:t>研学实践</w:t>
      </w:r>
    </w:p>
    <w:p w14:paraId="6FBE41E5" w14:textId="77777777" w:rsidR="00FF64D1" w:rsidRDefault="00000000">
      <w:pPr>
        <w:adjustRightInd w:val="0"/>
        <w:snapToGrid w:val="0"/>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在蔡明老师的带队下，所有老师参与了此次天平山野外考察活动。在徒步前往天平山的过程中，蔡明老师指导大家使用“两步路户外助手”APP记录此次行程路线，让大家对实时记录考察数据有更深的体验。通过蔡老师细心的讲解，老师们看到了花岗岩与围岩接触的交界线以及花岗岩的垂直节理，了解了天平石桌、卓笔峰、摇摆石等奇石的形成原理。从山脚到山顶，一路上都是大大小小的碎石、沙砾和光滑的石块，山路崎岖不平，大家互相搀扶、相互提醒，满载而归，安全完成此次野外考察。</w:t>
      </w:r>
    </w:p>
    <w:p w14:paraId="70F2EC4B" w14:textId="77777777" w:rsidR="00FF64D1" w:rsidRDefault="00000000">
      <w:pPr>
        <w:ind w:firstLineChars="200" w:firstLine="480"/>
        <w:rPr>
          <w:rFonts w:ascii="宋体" w:eastAsia="宋体" w:hAnsi="宋体" w:cs="宋体"/>
          <w:sz w:val="24"/>
        </w:rPr>
      </w:pPr>
      <w:r>
        <w:rPr>
          <w:rFonts w:ascii="宋体" w:eastAsia="宋体" w:hAnsi="宋体" w:cs="宋体" w:hint="eastAsia"/>
          <w:noProof/>
          <w:sz w:val="24"/>
        </w:rPr>
        <w:lastRenderedPageBreak/>
        <w:drawing>
          <wp:inline distT="0" distB="0" distL="114300" distR="114300" wp14:anchorId="53B70A9E" wp14:editId="301F421D">
            <wp:extent cx="4714875" cy="3424555"/>
            <wp:effectExtent l="0" t="0" r="9525" b="4445"/>
            <wp:docPr id="7" name="图片 7" descr="dfebf237ac81142f017974d0171b5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febf237ac81142f017974d0171b56e"/>
                    <pic:cNvPicPr>
                      <a:picLocks noChangeAspect="1"/>
                    </pic:cNvPicPr>
                  </pic:nvPicPr>
                  <pic:blipFill>
                    <a:blip r:embed="rId10"/>
                    <a:stretch>
                      <a:fillRect/>
                    </a:stretch>
                  </pic:blipFill>
                  <pic:spPr>
                    <a:xfrm>
                      <a:off x="0" y="0"/>
                      <a:ext cx="4714875" cy="3424555"/>
                    </a:xfrm>
                    <a:prstGeom prst="rect">
                      <a:avLst/>
                    </a:prstGeom>
                  </pic:spPr>
                </pic:pic>
              </a:graphicData>
            </a:graphic>
          </wp:inline>
        </w:drawing>
      </w:r>
    </w:p>
    <w:p w14:paraId="325FEE0F" w14:textId="77777777" w:rsidR="00FF64D1" w:rsidRDefault="00FF64D1">
      <w:pPr>
        <w:ind w:firstLineChars="200" w:firstLine="480"/>
        <w:rPr>
          <w:rFonts w:ascii="宋体" w:eastAsia="宋体" w:hAnsi="宋体" w:cs="宋体"/>
          <w:sz w:val="24"/>
        </w:rPr>
      </w:pPr>
    </w:p>
    <w:p w14:paraId="253C962F" w14:textId="77777777" w:rsidR="00FF64D1" w:rsidRDefault="00000000">
      <w:pPr>
        <w:ind w:firstLineChars="200" w:firstLine="480"/>
        <w:jc w:val="center"/>
        <w:rPr>
          <w:rFonts w:ascii="宋体" w:eastAsia="宋体" w:hAnsi="宋体" w:cs="宋体"/>
          <w:sz w:val="24"/>
        </w:rPr>
      </w:pPr>
      <w:r>
        <w:rPr>
          <w:rFonts w:ascii="宋体" w:eastAsia="宋体" w:hAnsi="宋体" w:cs="宋体" w:hint="eastAsia"/>
          <w:noProof/>
          <w:sz w:val="24"/>
        </w:rPr>
        <w:drawing>
          <wp:inline distT="0" distB="0" distL="114300" distR="114300" wp14:anchorId="3A382FE6" wp14:editId="18924A79">
            <wp:extent cx="4614545" cy="3462655"/>
            <wp:effectExtent l="0" t="0" r="8255" b="4445"/>
            <wp:docPr id="8" name="图片 8" descr="bb388d87ae08818416bbee6f62048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bb388d87ae08818416bbee6f620486d"/>
                    <pic:cNvPicPr>
                      <a:picLocks noChangeAspect="1"/>
                    </pic:cNvPicPr>
                  </pic:nvPicPr>
                  <pic:blipFill>
                    <a:blip r:embed="rId11"/>
                    <a:stretch>
                      <a:fillRect/>
                    </a:stretch>
                  </pic:blipFill>
                  <pic:spPr>
                    <a:xfrm>
                      <a:off x="0" y="0"/>
                      <a:ext cx="4614545" cy="3462655"/>
                    </a:xfrm>
                    <a:prstGeom prst="rect">
                      <a:avLst/>
                    </a:prstGeom>
                  </pic:spPr>
                </pic:pic>
              </a:graphicData>
            </a:graphic>
          </wp:inline>
        </w:drawing>
      </w:r>
    </w:p>
    <w:p w14:paraId="205A4FA9" w14:textId="77777777" w:rsidR="00FF64D1" w:rsidRDefault="00000000">
      <w:pPr>
        <w:adjustRightInd w:val="0"/>
        <w:snapToGrid w:val="0"/>
        <w:ind w:firstLineChars="200" w:firstLine="560"/>
        <w:jc w:val="center"/>
        <w:rPr>
          <w:rFonts w:ascii="宋体" w:eastAsia="宋体" w:hAnsi="宋体" w:cs="宋体"/>
          <w:kern w:val="0"/>
          <w:sz w:val="28"/>
          <w:szCs w:val="28"/>
        </w:rPr>
      </w:pPr>
      <w:r>
        <w:rPr>
          <w:rFonts w:ascii="宋体" w:eastAsia="宋体" w:hAnsi="宋体" w:cs="宋体" w:hint="eastAsia"/>
          <w:kern w:val="0"/>
          <w:sz w:val="28"/>
          <w:szCs w:val="28"/>
        </w:rPr>
        <w:t>活动总结</w:t>
      </w:r>
    </w:p>
    <w:p w14:paraId="43AEBDEB" w14:textId="77777777" w:rsidR="00FF64D1" w:rsidRDefault="00000000">
      <w:pPr>
        <w:adjustRightInd w:val="0"/>
        <w:snapToGrid w:val="0"/>
        <w:ind w:firstLineChars="200" w:firstLine="560"/>
        <w:jc w:val="left"/>
        <w:rPr>
          <w:rFonts w:ascii="宋体" w:eastAsia="宋体" w:hAnsi="宋体" w:cs="宋体"/>
          <w:kern w:val="0"/>
          <w:sz w:val="28"/>
          <w:szCs w:val="28"/>
        </w:rPr>
      </w:pPr>
      <w:r>
        <w:rPr>
          <w:rFonts w:ascii="宋体" w:eastAsia="宋体" w:hAnsi="宋体" w:cs="宋体"/>
          <w:kern w:val="0"/>
          <w:sz w:val="28"/>
          <w:szCs w:val="28"/>
        </w:rPr>
        <w:t>本次</w:t>
      </w:r>
      <w:r>
        <w:rPr>
          <w:rFonts w:ascii="宋体" w:eastAsia="宋体" w:hAnsi="宋体" w:cs="宋体" w:hint="eastAsia"/>
          <w:kern w:val="0"/>
          <w:sz w:val="28"/>
          <w:szCs w:val="28"/>
        </w:rPr>
        <w:t>“协同教研迭代式对分课堂”</w:t>
      </w:r>
      <w:r>
        <w:rPr>
          <w:rFonts w:ascii="宋体" w:eastAsia="宋体" w:hAnsi="宋体" w:cs="宋体"/>
          <w:kern w:val="0"/>
          <w:sz w:val="28"/>
          <w:szCs w:val="28"/>
        </w:rPr>
        <w:t>研修活动，主题鲜明，内容丰富，</w:t>
      </w:r>
      <w:r>
        <w:rPr>
          <w:rFonts w:ascii="宋体" w:eastAsia="宋体" w:hAnsi="宋体" w:cs="宋体" w:hint="eastAsia"/>
          <w:kern w:val="0"/>
          <w:sz w:val="28"/>
          <w:szCs w:val="28"/>
        </w:rPr>
        <w:t>为老师们建构了良好的交流和相互学习契机，</w:t>
      </w:r>
      <w:r>
        <w:rPr>
          <w:rFonts w:ascii="宋体" w:eastAsia="宋体" w:hAnsi="宋体" w:cs="宋体"/>
          <w:kern w:val="0"/>
          <w:sz w:val="28"/>
          <w:szCs w:val="28"/>
        </w:rPr>
        <w:t>为地理学科教学提供了一个很好的交流学习平台。老师们纷纷表示：将继续努力学习，提高自己的教学工作水平，助推地理教育再上新台阶。</w:t>
      </w:r>
    </w:p>
    <w:p w14:paraId="21B8AAB4" w14:textId="77777777" w:rsidR="00FF64D1" w:rsidRDefault="00FF64D1"/>
    <w:sectPr w:rsidR="00FF64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kzN2ZmNDEzODJiYmM3ZjIwZTFlZTMzYjg3OWQ2YmUifQ=="/>
  </w:docVars>
  <w:rsids>
    <w:rsidRoot w:val="24503823"/>
    <w:rsid w:val="00AC0F28"/>
    <w:rsid w:val="00FF64D1"/>
    <w:rsid w:val="08E72043"/>
    <w:rsid w:val="20AF1DF1"/>
    <w:rsid w:val="24503823"/>
    <w:rsid w:val="3D8A40A7"/>
    <w:rsid w:val="5EF046D1"/>
    <w:rsid w:val="64E67CB9"/>
    <w:rsid w:val="68B616F6"/>
    <w:rsid w:val="79A57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592B36B"/>
  <w15:docId w15:val="{93F2B1FA-ED5E-4B31-BB65-8F0CFB62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hexia</cp:lastModifiedBy>
  <cp:revision>2</cp:revision>
  <dcterms:created xsi:type="dcterms:W3CDTF">2023-12-13T02:47:00Z</dcterms:created>
  <dcterms:modified xsi:type="dcterms:W3CDTF">2023-12-13T02:47:00Z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0B15B582049041D5A12386F0949B8BDC_11</vt:lpwstr>
  </property>
</Properties>
</file>