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DF919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《共价键》教后反思</w:t>
      </w:r>
    </w:p>
    <w:p w14:paraId="66C6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本节课围绕“共价键”这一核心概念展开。教学从学生已知的氢气形成过程入手，通过类比迁移到氯化氢的形成，顺利引出共价键的定义，这种由旧知到新知的过渡较为自然，符合学生的认知规律。</w:t>
      </w:r>
    </w:p>
    <w:p w14:paraId="5391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课通过对比氢气和氯化氢分子中共用电子对的偏移情况，清晰地建立了“非极性共价键”与“极性共价键”的概念。利用原子核对电子吸引能力的差异来解释键的极性，能够帮助学生从本质上理解，而不仅仅是记忆结论。定义共价化合物后，学生对于化合物类型的分类知识网络也得到了完善。</w:t>
      </w:r>
    </w:p>
    <w:p w14:paraId="7F38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在教学过程中，电子式的书写部分是学生容易出现困惑的地方，尤其是多原子分子的表达，需要后续配合更多练习加以巩固。此外，结构式的引入为后续学习分子空间构型奠定了基础。</w:t>
      </w:r>
    </w:p>
    <w:p w14:paraId="2DA42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在教学中我也察觉到，部分学生对于“共用电子对”这一微观、抽象的概念理解仍停留在表面。后续教学中，应考虑引入更生动的比喻或动画演示，将静电作用具体化，以深化理解。此外，可以适当补充生活中的共价化合物实例，增强知识的应用性与趣味性，进一步激发学生的学习兴趣。</w:t>
      </w:r>
    </w:p>
    <w:sectPr>
      <w:pgSz w:w="11906" w:h="16838"/>
      <w:pgMar w:top="703" w:right="726" w:bottom="703" w:left="7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0988"/>
    <w:rsid w:val="04776E40"/>
    <w:rsid w:val="0D7E555D"/>
    <w:rsid w:val="142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21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2025-08-08T11:41:00Z</dcterms:created>
  <dc:creator>一切随风</dc:creator>
  <cp:lastModifiedBy>一切随风</cp:lastModifiedBy>
  <dcterms:modified xsi:type="dcterms:W3CDTF">2025-09-29T08:54:11Z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7093FAE060DF48AD822D2743F290F5A8_13</vt:lpwstr>
  </property>
  <property fmtid="{D5CDD505-2E9C-101B-9397-08002B2CF9AE}" pid="4" name="KSOTemplateDocerSaveRecord">
    <vt:lpwstr>eyJoZGlkIjoiMDViYTNlN2ZiNTBjNTdjOTI0MmI1N2U4NzMyZTQ5MDMiLCJ1c2VySWQiOiIyOTU5OTQzODIifQ==</vt:lpwstr>
  </property>
</Properties>
</file>