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32B52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小学语文“做中学”实践项目开发与实施”研讨活动心得</w:t>
      </w:r>
    </w:p>
    <w:p w14:paraId="7A5AD0B7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 xml:space="preserve"> </w:t>
      </w:r>
    </w:p>
    <w:p w14:paraId="530FE736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参与本次工作室研讨，肖老师《搭船的鸟》一课，以“观察方法”为核心，串联“翠鸟视频观察+小猫实景观察+青莽《翠鸟》文本对比”，不仅生动呈现“做中学”课堂落地样态，更让我直观看到“做中学”实践项目开发与实施的关键逻辑：项目开发需先锚定“观察方法迁移”这类具体语文目标，实施中则通过“多素材联动、多场景实践”，让学生在“看、比、仿、用”的过程中掌握能力，为后续设计同类实践项目提供了清晰的课堂实施范本。</w:t>
      </w:r>
    </w:p>
    <w:p w14:paraId="7C5996D7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 xml:space="preserve"> </w:t>
      </w:r>
    </w:p>
    <w:p w14:paraId="1837DDE3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经验交流环节，老师们围绕“做中学”实践项目的开发与实施展开分享，让我明确核心方向：项目开发需紧扣语文要素，从“任务设计”到“成果转化”，每一步都要指向语言运用与思维发展；而“人工智能助力教学”“书院文化融入课堂”等讲座，更提供了项目优化路径——AI工具可优化“做”的过程性评价，书院式课堂能为“学”赋予文化厚度，拓宽了项目实施的边界。</w:t>
      </w:r>
    </w:p>
    <w:p w14:paraId="202F3800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 xml:space="preserve"> </w:t>
      </w:r>
    </w:p>
    <w:p w14:paraId="687409D7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这次活动让我意识到，“做中学”不是简单的活动叠加，而是以实践为载体，让语文能力在“行”中生长，最终实现“行以成人”的育人目标。后续教学中，我会尝试设计“生活观察+文本创编”的小项目，让学生在“做”中真正学会用语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9A7E5EC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WWO_wpscloud_20251010183206-22817e2cf8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terms:modified xsi:type="dcterms:W3CDTF">2025-10-21T18:36:18Z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2052-12.9.0.23240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6C0BBD6D21871CAB2262F7689F9AAAB9_43</vt:lpwstr>
  </property>
</Properties>
</file>